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92CB9" w14:textId="77777777" w:rsidR="005F029B" w:rsidRDefault="005F029B">
      <w:pPr>
        <w:widowControl w:val="0"/>
        <w:spacing w:after="0" w:line="240" w:lineRule="auto"/>
        <w:jc w:val="center"/>
        <w:rPr>
          <w:rFonts w:ascii="Bookman Old Style" w:eastAsia="Bookman Old Style" w:hAnsi="Bookman Old Style" w:cs="Bookman Old Style"/>
          <w:b/>
        </w:rPr>
      </w:pPr>
    </w:p>
    <w:p w14:paraId="0D7C0596" w14:textId="00D1E70A"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RESOLUCIÓN No. 103 de 2025</w:t>
      </w:r>
    </w:p>
    <w:p w14:paraId="69EEF0F4"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(28 de agosto de 2025)</w:t>
      </w:r>
    </w:p>
    <w:p w14:paraId="0E9EB9F4"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CAMPEONATO NACIONAL PRIMERA C / 2025</w:t>
      </w:r>
    </w:p>
    <w:p w14:paraId="7A507C09" w14:textId="77777777" w:rsidR="00C85AFB" w:rsidRDefault="00C85AFB">
      <w:pPr>
        <w:widowControl w:val="0"/>
        <w:spacing w:after="0" w:line="240" w:lineRule="auto"/>
        <w:rPr>
          <w:rFonts w:ascii="Bookman Old Style" w:eastAsia="Bookman Old Style" w:hAnsi="Bookman Old Style" w:cs="Bookman Old Style"/>
          <w:b/>
        </w:rPr>
      </w:pPr>
    </w:p>
    <w:p w14:paraId="7CB36086" w14:textId="77777777" w:rsidR="00C85AFB" w:rsidRDefault="00000000">
      <w:pPr>
        <w:widowControl w:val="0"/>
        <w:spacing w:after="0" w:line="240" w:lineRule="auto"/>
        <w:jc w:val="center"/>
        <w:rPr>
          <w:rFonts w:ascii="Bookman Old Style" w:eastAsia="Bookman Old Style" w:hAnsi="Bookman Old Style" w:cs="Bookman Old Style"/>
        </w:rPr>
      </w:pPr>
      <w:bookmarkStart w:id="0" w:name="_heading=h.gjdgxs" w:colFirst="0" w:colLast="0"/>
      <w:bookmarkEnd w:id="0"/>
      <w:r>
        <w:rPr>
          <w:rFonts w:ascii="Bookman Old Style" w:eastAsia="Bookman Old Style" w:hAnsi="Bookman Old Style" w:cs="Bookman Old Style"/>
          <w:i/>
        </w:rPr>
        <w:t>“Por la cual se imponen sanciones y se informa a los clubes participantes”</w:t>
      </w:r>
    </w:p>
    <w:p w14:paraId="088AED3E" w14:textId="77777777" w:rsidR="00C85AFB" w:rsidRDefault="00C85AFB">
      <w:pPr>
        <w:widowControl w:val="0"/>
        <w:spacing w:after="0" w:line="240" w:lineRule="auto"/>
        <w:jc w:val="center"/>
        <w:rPr>
          <w:rFonts w:ascii="Bookman Old Style" w:eastAsia="Bookman Old Style" w:hAnsi="Bookman Old Style" w:cs="Bookman Old Style"/>
        </w:rPr>
      </w:pPr>
      <w:bookmarkStart w:id="1" w:name="_heading=h.e4tamqg6tg5h" w:colFirst="0" w:colLast="0"/>
      <w:bookmarkEnd w:id="1"/>
    </w:p>
    <w:p w14:paraId="54BC210A"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EL COMITÉ DISCIPLINARIO DE LOS CAMPEONATOS DE LA DIVISIÓN AFICIONADA DEL FÚTBOL COLOMBIANO </w:t>
      </w:r>
    </w:p>
    <w:p w14:paraId="504C5B57" w14:textId="77777777" w:rsidR="00C85AFB" w:rsidRDefault="00C85AFB">
      <w:pPr>
        <w:widowControl w:val="0"/>
        <w:spacing w:after="0" w:line="240" w:lineRule="auto"/>
        <w:rPr>
          <w:rFonts w:ascii="Bookman Old Style" w:eastAsia="Bookman Old Style" w:hAnsi="Bookman Old Style" w:cs="Bookman Old Style"/>
          <w:b/>
        </w:rPr>
      </w:pPr>
    </w:p>
    <w:p w14:paraId="1C59093A" w14:textId="77777777" w:rsidR="00C85AFB" w:rsidRDefault="00000000">
      <w:pPr>
        <w:widowControl w:val="0"/>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En uso de sus facultades legales, estatutarias y reglamentarias, en particular las otorgadas en el Código Disciplinario Único de la Federación Colombiana de Fútbol (en adelante CDU-FCF) y la Resolución No. 03124 del 1 de noviembre del 2024, por la cual se Reglamentó los Campeonatos Nacionales Interclubes de DIFUTBOL 2025 (en adelante RGC).</w:t>
      </w:r>
    </w:p>
    <w:p w14:paraId="1EC3A9C6" w14:textId="77777777" w:rsidR="00C85AFB" w:rsidRDefault="00000000">
      <w:pPr>
        <w:spacing w:after="0"/>
        <w:jc w:val="center"/>
        <w:rPr>
          <w:rFonts w:ascii="Bookman Old Style" w:eastAsia="Bookman Old Style" w:hAnsi="Bookman Old Style" w:cs="Bookman Old Style"/>
          <w:b/>
        </w:rPr>
      </w:pPr>
      <w:r>
        <w:rPr>
          <w:rFonts w:ascii="Bookman Old Style" w:eastAsia="Bookman Old Style" w:hAnsi="Bookman Old Style" w:cs="Bookman Old Style"/>
          <w:b/>
        </w:rPr>
        <w:t>RESUELVE</w:t>
      </w:r>
    </w:p>
    <w:p w14:paraId="5354D124" w14:textId="77777777" w:rsidR="00C85AFB" w:rsidRDefault="00C85AFB">
      <w:pPr>
        <w:spacing w:after="0" w:line="276" w:lineRule="auto"/>
        <w:jc w:val="both"/>
        <w:rPr>
          <w:rFonts w:ascii="Bookman Old Style" w:eastAsia="Bookman Old Style" w:hAnsi="Bookman Old Style" w:cs="Bookman Old Style"/>
          <w:b/>
        </w:rPr>
      </w:pPr>
    </w:p>
    <w:p w14:paraId="77E84577" w14:textId="77777777" w:rsidR="00C85AFB" w:rsidRDefault="00000000">
      <w:pPr>
        <w:spacing w:after="0" w:line="276"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 (i) CERRAR Y ARCHIVAR</w:t>
      </w:r>
      <w:r>
        <w:rPr>
          <w:rFonts w:ascii="Bookman Old Style" w:eastAsia="Bookman Old Style" w:hAnsi="Bookman Old Style" w:cs="Bookman Old Style"/>
        </w:rPr>
        <w:t xml:space="preserve"> la investigación disciplinaria contra el CLUB ATLÉTICO CURUMANÍ por la presunta infracción del artículo 83-C del CDU-FCF en el partido disputado contra CLUB ATLÉTICO FM el día 16.08.2025 del Campeonato Nacional Interclubes PRIMERA C correspondiente a la (PRIMERA FASE - FECHA 11 - G-P) en el estadio CANCHA MUNICIPAL DE CURUMANI (CURUMANI) por encontrar todo en orden de acuerdo con el reglamento y el informe arbitral </w:t>
      </w:r>
      <w:proofErr w:type="gramStart"/>
      <w:r>
        <w:rPr>
          <w:rFonts w:ascii="Bookman Old Style" w:eastAsia="Bookman Old Style" w:hAnsi="Bookman Old Style" w:cs="Bookman Old Style"/>
        </w:rPr>
        <w:t>y  las</w:t>
      </w:r>
      <w:proofErr w:type="gramEnd"/>
      <w:r>
        <w:rPr>
          <w:rFonts w:ascii="Bookman Old Style" w:eastAsia="Bookman Old Style" w:hAnsi="Bookman Old Style" w:cs="Bookman Old Style"/>
        </w:rPr>
        <w:t xml:space="preserve"> planillas que reposan en el sistema COMET.</w:t>
      </w:r>
      <w:r>
        <w:rPr>
          <w:rFonts w:ascii="Bookman Old Style" w:eastAsia="Bookman Old Style" w:hAnsi="Bookman Old Style" w:cs="Bookman Old Style"/>
          <w:b/>
        </w:rPr>
        <w:t xml:space="preserve"> (</w:t>
      </w:r>
      <w:proofErr w:type="spellStart"/>
      <w:r>
        <w:rPr>
          <w:rFonts w:ascii="Bookman Old Style" w:eastAsia="Bookman Old Style" w:hAnsi="Bookman Old Style" w:cs="Bookman Old Style"/>
          <w:b/>
        </w:rPr>
        <w:t>ii</w:t>
      </w:r>
      <w:proofErr w:type="spellEnd"/>
      <w:r>
        <w:rPr>
          <w:rFonts w:ascii="Bookman Old Style" w:eastAsia="Bookman Old Style" w:hAnsi="Bookman Old Style" w:cs="Bookman Old Style"/>
          <w:b/>
        </w:rPr>
        <w:t xml:space="preserve">) RECURSOS. </w:t>
      </w:r>
      <w:r>
        <w:rPr>
          <w:rFonts w:ascii="Bookman Old Style" w:eastAsia="Bookman Old Style" w:hAnsi="Bookman Old Style" w:cs="Bookman Old Style"/>
        </w:rPr>
        <w:t>Contra la presente decisión no proceden recursos.</w:t>
      </w:r>
    </w:p>
    <w:p w14:paraId="24BDDBF2" w14:textId="77777777" w:rsidR="00C85AFB" w:rsidRDefault="00C85AFB">
      <w:pPr>
        <w:spacing w:after="0" w:line="276" w:lineRule="auto"/>
        <w:jc w:val="both"/>
        <w:rPr>
          <w:rFonts w:ascii="Bookman Old Style" w:eastAsia="Bookman Old Style" w:hAnsi="Bookman Old Style" w:cs="Bookman Old Style"/>
          <w:b/>
        </w:rPr>
      </w:pPr>
    </w:p>
    <w:p w14:paraId="22AB942E" w14:textId="77777777" w:rsidR="00C85AFB" w:rsidRDefault="00000000">
      <w:pPr>
        <w:spacing w:after="0" w:line="276"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2. SOBRE LOS PRINCIPIOS BASE EN LA TOMA DE LAS DECISIONES: (i) Principio Pro </w:t>
      </w:r>
      <w:proofErr w:type="spellStart"/>
      <w:r>
        <w:rPr>
          <w:rFonts w:ascii="Bookman Old Style" w:eastAsia="Bookman Old Style" w:hAnsi="Bookman Old Style" w:cs="Bookman Old Style"/>
          <w:b/>
        </w:rPr>
        <w:t>competitione</w:t>
      </w:r>
      <w:proofErr w:type="spellEnd"/>
      <w:r>
        <w:rPr>
          <w:rFonts w:ascii="Bookman Old Style" w:eastAsia="Bookman Old Style" w:hAnsi="Bookman Old Style" w:cs="Bookman Old Style"/>
          <w:b/>
        </w:rPr>
        <w:t>.</w:t>
      </w:r>
      <w:r>
        <w:rPr>
          <w:rFonts w:ascii="Bookman Old Style" w:eastAsia="Bookman Old Style" w:hAnsi="Bookman Old Style" w:cs="Bookman Old Style"/>
        </w:rPr>
        <w:t xml:space="preserve"> En las actuaciones y procesos que adelanten las comisiones y autoridades disciplinarias primará la integridad de la competición o evento deportivo como bien jurídico preferente, aún sobre los principios generales del derecho sancionador, especialmente en lo que hace referencia a los procedimientos y los términos. (Art. 4-CDU-FCF). </w:t>
      </w:r>
      <w:r>
        <w:rPr>
          <w:rFonts w:ascii="Bookman Old Style" w:eastAsia="Bookman Old Style" w:hAnsi="Bookman Old Style" w:cs="Bookman Old Style"/>
          <w:b/>
        </w:rPr>
        <w:t>(</w:t>
      </w:r>
      <w:proofErr w:type="spellStart"/>
      <w:r>
        <w:rPr>
          <w:rFonts w:ascii="Bookman Old Style" w:eastAsia="Bookman Old Style" w:hAnsi="Bookman Old Style" w:cs="Bookman Old Style"/>
          <w:b/>
        </w:rPr>
        <w:t>ii</w:t>
      </w:r>
      <w:proofErr w:type="spellEnd"/>
      <w:r>
        <w:rPr>
          <w:rFonts w:ascii="Bookman Old Style" w:eastAsia="Bookman Old Style" w:hAnsi="Bookman Old Style" w:cs="Bookman Old Style"/>
          <w:b/>
        </w:rPr>
        <w:t>)</w:t>
      </w:r>
      <w:r>
        <w:rPr>
          <w:rFonts w:ascii="Bookman Old Style" w:eastAsia="Bookman Old Style" w:hAnsi="Bookman Old Style" w:cs="Bookman Old Style"/>
        </w:rPr>
        <w:t xml:space="preserve"> </w:t>
      </w:r>
      <w:r>
        <w:rPr>
          <w:rFonts w:ascii="Bookman Old Style" w:eastAsia="Bookman Old Style" w:hAnsi="Bookman Old Style" w:cs="Bookman Old Style"/>
          <w:b/>
        </w:rPr>
        <w:t>Limitaciones.</w:t>
      </w:r>
      <w:r>
        <w:rPr>
          <w:rFonts w:ascii="Bookman Old Style" w:eastAsia="Bookman Old Style" w:hAnsi="Bookman Old Style" w:cs="Bookman Old Style"/>
        </w:rPr>
        <w:t xml:space="preserve"> El derecho a ser oído puede ser restringido cuando así lo requieran circunstancias excepcionales. Ello sin perjuicio de las disposiciones especiales que se puedan dar al respecto y la aplicación del principio de inmediatez y pro </w:t>
      </w:r>
      <w:proofErr w:type="spellStart"/>
      <w:r>
        <w:rPr>
          <w:rFonts w:ascii="Bookman Old Style" w:eastAsia="Bookman Old Style" w:hAnsi="Bookman Old Style" w:cs="Bookman Old Style"/>
        </w:rPr>
        <w:t>competitione</w:t>
      </w:r>
      <w:proofErr w:type="spellEnd"/>
      <w:r>
        <w:rPr>
          <w:rFonts w:ascii="Bookman Old Style" w:eastAsia="Bookman Old Style" w:hAnsi="Bookman Old Style" w:cs="Bookman Old Style"/>
        </w:rPr>
        <w:t xml:space="preserve"> que orientan las actividades de las autoridades disciplinarias, sin que esto pueda ser tenido en cuenta como limitación al derecho a la defensa que está garantizado de conformidad con lo establecido en este código. (Art. 203-CDU-FCF). </w:t>
      </w:r>
      <w:r>
        <w:rPr>
          <w:rFonts w:ascii="Bookman Old Style" w:eastAsia="Bookman Old Style" w:hAnsi="Bookman Old Style" w:cs="Bookman Old Style"/>
          <w:b/>
        </w:rPr>
        <w:t>(</w:t>
      </w:r>
      <w:proofErr w:type="spellStart"/>
      <w:r>
        <w:rPr>
          <w:rFonts w:ascii="Bookman Old Style" w:eastAsia="Bookman Old Style" w:hAnsi="Bookman Old Style" w:cs="Bookman Old Style"/>
          <w:b/>
        </w:rPr>
        <w:t>ii</w:t>
      </w:r>
      <w:proofErr w:type="spellEnd"/>
      <w:r>
        <w:rPr>
          <w:rFonts w:ascii="Bookman Old Style" w:eastAsia="Bookman Old Style" w:hAnsi="Bookman Old Style" w:cs="Bookman Old Style"/>
          <w:b/>
        </w:rPr>
        <w:t>) Supuestos especiales.</w:t>
      </w:r>
      <w:r>
        <w:rPr>
          <w:rFonts w:ascii="Bookman Old Style" w:eastAsia="Bookman Old Style" w:hAnsi="Bookman Old Style" w:cs="Bookman Old Style"/>
        </w:rPr>
        <w:t xml:space="preserve"> Cuando las circunstancias lo justifiquen se podrá comunicar a las partes exclusivamente la parte dispositiva de una decisión. Posteriormente, en el término de treinta días se les remitirá la fundamentación de la decisión. El plazo para interponer el recurso comienza a contar a partir del día siguiente a la notificación de la fundamentación de la decisión. </w:t>
      </w:r>
      <w:r>
        <w:rPr>
          <w:rFonts w:ascii="Bookman Old Style" w:eastAsia="Bookman Old Style" w:hAnsi="Bookman Old Style" w:cs="Bookman Old Style"/>
          <w:b/>
        </w:rPr>
        <w:t>(</w:t>
      </w:r>
      <w:proofErr w:type="spellStart"/>
      <w:r>
        <w:rPr>
          <w:rFonts w:ascii="Bookman Old Style" w:eastAsia="Bookman Old Style" w:hAnsi="Bookman Old Style" w:cs="Bookman Old Style"/>
          <w:b/>
        </w:rPr>
        <w:t>iii</w:t>
      </w:r>
      <w:proofErr w:type="spellEnd"/>
      <w:r>
        <w:rPr>
          <w:rFonts w:ascii="Bookman Old Style" w:eastAsia="Bookman Old Style" w:hAnsi="Bookman Old Style" w:cs="Bookman Old Style"/>
          <w:b/>
        </w:rPr>
        <w:t xml:space="preserve">) Debido proceso. </w:t>
      </w:r>
      <w:r>
        <w:rPr>
          <w:rFonts w:ascii="Bookman Old Style" w:eastAsia="Bookman Old Style" w:hAnsi="Bookman Old Style" w:cs="Bookman Old Style"/>
        </w:rPr>
        <w:t xml:space="preserve">Se aplicará en todas las actuaciones de las autoridades y comisiones disciplinarias. Nadie podrá ser investigado o sancionado sino conforme a normas preexistentes al acto que se le imputa, contenidas en este Código, la reglamentación de la FIFA y la legislación deportiva colombiana, ante la autoridad competente y con observancia de la plenitud de las formas propias de cada juicio. Toda persona se presume inocente mientras no se la haya declarado disciplinariamente culpable. Quien sea investigado disciplinariamente tiene derecho a la defensa y a la asistencia de un abogado escogido por él; a presentar pruebas y a controvertir las que se alleguen en su contra; a impugnar el fallo adverso y a no ser juzgado dos veces por el mismo hecho. Se exceptúan en relación con las disposiciones especiales en casos ante las autoridades disciplinarias o comités de campeonato. El principio de favorabilidad será siempre de aplicación preferente en el proceso deportivo disciplinario, salvo las disposiciones especiales en asuntos de dopaje contenidas en este código, el </w:t>
      </w:r>
      <w:r>
        <w:rPr>
          <w:rFonts w:ascii="Bookman Old Style" w:eastAsia="Bookman Old Style" w:hAnsi="Bookman Old Style" w:cs="Bookman Old Style"/>
        </w:rPr>
        <w:lastRenderedPageBreak/>
        <w:t>reglamento antidopaje de la FCF y el reglamento antidopaje de la FIFA. Es nula, de pleno derecho, la prueba obtenida con violación del debido proceso.</w:t>
      </w:r>
    </w:p>
    <w:p w14:paraId="2B606435" w14:textId="77777777" w:rsidR="00C85AFB" w:rsidRDefault="00C85AFB">
      <w:pPr>
        <w:spacing w:after="0"/>
        <w:jc w:val="both"/>
        <w:rPr>
          <w:rFonts w:ascii="Bookman Old Style" w:eastAsia="Bookman Old Style" w:hAnsi="Bookman Old Style" w:cs="Bookman Old Style"/>
          <w:b/>
        </w:rPr>
      </w:pPr>
    </w:p>
    <w:p w14:paraId="2BF10146" w14:textId="77777777" w:rsidR="00C85AFB" w:rsidRDefault="00000000">
      <w:pPr>
        <w:spacing w:after="0"/>
        <w:jc w:val="both"/>
        <w:rPr>
          <w:rFonts w:ascii="Bookman Old Style" w:eastAsia="Bookman Old Style" w:hAnsi="Bookman Old Style" w:cs="Bookman Old Style"/>
          <w:b/>
        </w:rPr>
      </w:pPr>
      <w:r>
        <w:rPr>
          <w:rFonts w:ascii="Bookman Old Style" w:eastAsia="Bookman Old Style" w:hAnsi="Bookman Old Style" w:cs="Bookman Old Style"/>
          <w:b/>
        </w:rPr>
        <w:t xml:space="preserve">ARTÍCULO 3. SOBRE EL REGLAMENTO - </w:t>
      </w:r>
      <w:r>
        <w:rPr>
          <w:rFonts w:ascii="Bookman Old Style" w:eastAsia="Bookman Old Style" w:hAnsi="Bookman Old Style" w:cs="Bookman Old Style"/>
        </w:rPr>
        <w:t xml:space="preserve">En cumplimiento del artículo 26 del Reglamento Nacional Interclubes 2025, los clubes que por retiro voluntario o por sanción después del comienzo de la </w:t>
      </w:r>
      <w:proofErr w:type="gramStart"/>
      <w:r>
        <w:rPr>
          <w:rFonts w:ascii="Bookman Old Style" w:eastAsia="Bookman Old Style" w:hAnsi="Bookman Old Style" w:cs="Bookman Old Style"/>
        </w:rPr>
        <w:t>competición  oficial</w:t>
      </w:r>
      <w:proofErr w:type="gramEnd"/>
      <w:r>
        <w:rPr>
          <w:rFonts w:ascii="Bookman Old Style" w:eastAsia="Bookman Old Style" w:hAnsi="Bookman Old Style" w:cs="Bookman Old Style"/>
        </w:rPr>
        <w:t>, pierden su derecho a inscribirse para los próximos dos años (2026-2027) en los campeonatos organizados por DIFUTBOL.</w:t>
      </w:r>
    </w:p>
    <w:p w14:paraId="57CAA0DC" w14:textId="77777777" w:rsidR="00C85AFB" w:rsidRDefault="00C85AFB">
      <w:pPr>
        <w:spacing w:after="0"/>
        <w:jc w:val="both"/>
        <w:rPr>
          <w:rFonts w:ascii="Bookman Old Style" w:eastAsia="Bookman Old Style" w:hAnsi="Bookman Old Style" w:cs="Bookman Old Style"/>
          <w:b/>
        </w:rPr>
      </w:pPr>
    </w:p>
    <w:p w14:paraId="138A0E3D" w14:textId="77777777" w:rsidR="00C85AFB" w:rsidRDefault="00000000">
      <w:pPr>
        <w:spacing w:after="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4. SOBRE ACTOS DE DISCRIMINACIÓN - </w:t>
      </w:r>
      <w:r>
        <w:rPr>
          <w:rFonts w:ascii="Bookman Old Style" w:eastAsia="Bookman Old Style" w:hAnsi="Bookman Old Style" w:cs="Bookman Old Style"/>
        </w:rPr>
        <w:t>Las autoridades disciplinarias del Campeonato de DIFUTBOL exhorta a todos y cada uno de los participantes y al público en general a garantizar los derechos humanos y eliminar cualquier forma de discriminación en razón de su raza, color de piel, sexo, idioma, credo u origen de forma o que atente contra la dignidad humana. Cualquier tipo de conductas que afecte lo anterior o la dignidad de las personas será investigada y sancionada conforme al CDU-FCF.</w:t>
      </w:r>
    </w:p>
    <w:p w14:paraId="3250E65E" w14:textId="77777777" w:rsidR="00C85AFB" w:rsidRDefault="00C85AFB">
      <w:pPr>
        <w:spacing w:after="0"/>
        <w:jc w:val="both"/>
        <w:rPr>
          <w:rFonts w:ascii="Bookman Old Style" w:eastAsia="Bookman Old Style" w:hAnsi="Bookman Old Style" w:cs="Bookman Old Style"/>
        </w:rPr>
      </w:pPr>
    </w:p>
    <w:p w14:paraId="64A2846E" w14:textId="77777777" w:rsidR="00C85AFB" w:rsidRDefault="00000000">
      <w:pPr>
        <w:spacing w:after="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5. DE ACUMULACIÓN DE LAS TARJETAS AMARILLAS - </w:t>
      </w:r>
      <w:r>
        <w:rPr>
          <w:rFonts w:ascii="Bookman Old Style" w:eastAsia="Bookman Old Style" w:hAnsi="Bookman Old Style" w:cs="Bookman Old Style"/>
        </w:rPr>
        <w:t xml:space="preserve">Estas son notificadas en los términos y procedimiento estipulados en el Reglamento general del Campeonato y en concordancia con </w:t>
      </w:r>
      <w:proofErr w:type="gramStart"/>
      <w:r>
        <w:rPr>
          <w:rFonts w:ascii="Bookman Old Style" w:eastAsia="Bookman Old Style" w:hAnsi="Bookman Old Style" w:cs="Bookman Old Style"/>
        </w:rPr>
        <w:t>el  artículo</w:t>
      </w:r>
      <w:proofErr w:type="gramEnd"/>
      <w:r>
        <w:rPr>
          <w:rFonts w:ascii="Bookman Old Style" w:eastAsia="Bookman Old Style" w:hAnsi="Bookman Old Style" w:cs="Bookman Old Style"/>
        </w:rPr>
        <w:t xml:space="preserve"> 58 numeral 4 del Código Disciplinario de la Federación Colombiana de Fútbol establece:  </w:t>
      </w:r>
    </w:p>
    <w:p w14:paraId="49BF5976" w14:textId="77777777" w:rsidR="00C85AFB" w:rsidRDefault="00C85AFB">
      <w:pPr>
        <w:spacing w:after="0"/>
        <w:jc w:val="both"/>
        <w:rPr>
          <w:rFonts w:ascii="Bookman Old Style" w:eastAsia="Bookman Old Style" w:hAnsi="Bookman Old Style" w:cs="Bookman Old Style"/>
          <w:b/>
          <w:i/>
        </w:rPr>
      </w:pPr>
    </w:p>
    <w:p w14:paraId="4CD7D41D" w14:textId="77777777" w:rsidR="00C85AFB" w:rsidRDefault="00000000">
      <w:pPr>
        <w:spacing w:after="0"/>
        <w:ind w:firstLine="720"/>
        <w:jc w:val="both"/>
        <w:rPr>
          <w:rFonts w:ascii="Bookman Old Style" w:eastAsia="Bookman Old Style" w:hAnsi="Bookman Old Style" w:cs="Bookman Old Style"/>
          <w:b/>
          <w:i/>
        </w:rPr>
      </w:pPr>
      <w:r>
        <w:rPr>
          <w:rFonts w:ascii="Bookman Old Style" w:eastAsia="Bookman Old Style" w:hAnsi="Bookman Old Style" w:cs="Bookman Old Style"/>
          <w:b/>
          <w:i/>
        </w:rPr>
        <w:t>“Artículo 58. Amonestación.</w:t>
      </w:r>
    </w:p>
    <w:p w14:paraId="0EF14AFC" w14:textId="77777777" w:rsidR="00C85AFB" w:rsidRDefault="00000000">
      <w:pPr>
        <w:spacing w:after="0"/>
        <w:ind w:firstLine="720"/>
        <w:jc w:val="both"/>
        <w:rPr>
          <w:rFonts w:ascii="Bookman Old Style" w:eastAsia="Bookman Old Style" w:hAnsi="Bookman Old Style" w:cs="Bookman Old Style"/>
          <w:i/>
        </w:rPr>
      </w:pPr>
      <w:r>
        <w:rPr>
          <w:rFonts w:ascii="Bookman Old Style" w:eastAsia="Bookman Old Style" w:hAnsi="Bookman Old Style" w:cs="Bookman Old Style"/>
          <w:i/>
        </w:rPr>
        <w:t>(...)</w:t>
      </w:r>
    </w:p>
    <w:p w14:paraId="59D64EFB" w14:textId="77777777" w:rsidR="00C85AFB" w:rsidRDefault="00000000">
      <w:pPr>
        <w:spacing w:after="0"/>
        <w:ind w:left="720"/>
        <w:jc w:val="both"/>
        <w:rPr>
          <w:rFonts w:ascii="Bookman Old Style" w:eastAsia="Bookman Old Style" w:hAnsi="Bookman Old Style" w:cs="Bookman Old Style"/>
        </w:rPr>
      </w:pPr>
      <w:r>
        <w:rPr>
          <w:rFonts w:ascii="Bookman Old Style" w:eastAsia="Bookman Old Style" w:hAnsi="Bookman Old Style" w:cs="Bookman Old Style"/>
          <w:i/>
        </w:rPr>
        <w:t>4. En los Campeonatos organizados por la DIFUTBOL o las Ligas Departamentales, tres (3) amonestaciones durante tres (3) partidos consecutivos o acumulativos implicarán para el jugador la suspensión automática para el siguiente partido que en todo caso deberá cumplirse en el mismo campeonato oficial. Las amonestaciones recibidas en el transcurso de una competición no se trasladarán a otra.”</w:t>
      </w:r>
    </w:p>
    <w:p w14:paraId="0DA0DE2F" w14:textId="77777777" w:rsidR="00C85AFB" w:rsidRDefault="00000000">
      <w:pPr>
        <w:spacing w:before="240" w:after="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6. </w:t>
      </w:r>
      <w:r>
        <w:rPr>
          <w:rFonts w:ascii="Bookman Old Style" w:eastAsia="Bookman Old Style" w:hAnsi="Bookman Old Style" w:cs="Bookman Old Style"/>
        </w:rPr>
        <w:t>Suspender a los jugadores y oficiales de los clubes que relacionamos a continuación:</w:t>
      </w:r>
    </w:p>
    <w:p w14:paraId="33482436" w14:textId="77777777" w:rsidR="005F029B" w:rsidRDefault="005F029B">
      <w:pPr>
        <w:spacing w:before="240" w:after="0"/>
        <w:jc w:val="both"/>
        <w:rPr>
          <w:rFonts w:ascii="Bookman Old Style" w:eastAsia="Bookman Old Style" w:hAnsi="Bookman Old Style" w:cs="Bookman Old Style"/>
        </w:rPr>
      </w:pPr>
    </w:p>
    <w:tbl>
      <w:tblPr>
        <w:tblW w:w="9720" w:type="dxa"/>
        <w:tblCellMar>
          <w:left w:w="70" w:type="dxa"/>
          <w:right w:w="70" w:type="dxa"/>
        </w:tblCellMar>
        <w:tblLook w:val="04A0" w:firstRow="1" w:lastRow="0" w:firstColumn="1" w:lastColumn="0" w:noHBand="0" w:noVBand="1"/>
      </w:tblPr>
      <w:tblGrid>
        <w:gridCol w:w="1634"/>
        <w:gridCol w:w="2038"/>
        <w:gridCol w:w="1009"/>
        <w:gridCol w:w="2822"/>
        <w:gridCol w:w="2217"/>
      </w:tblGrid>
      <w:tr w:rsidR="005F029B" w:rsidRPr="005F029B" w14:paraId="6F80A2C3" w14:textId="77777777" w:rsidTr="005F029B">
        <w:trPr>
          <w:trHeight w:val="284"/>
        </w:trPr>
        <w:tc>
          <w:tcPr>
            <w:tcW w:w="1634" w:type="dxa"/>
            <w:shd w:val="clear" w:color="000000" w:fill="FFFFFF"/>
            <w:hideMark/>
          </w:tcPr>
          <w:p w14:paraId="24652C0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GRUPO-B / PRIMERA C</w:t>
            </w:r>
          </w:p>
        </w:tc>
        <w:tc>
          <w:tcPr>
            <w:tcW w:w="2038" w:type="dxa"/>
            <w:shd w:val="clear" w:color="000000" w:fill="FFFFFF"/>
            <w:hideMark/>
          </w:tcPr>
          <w:p w14:paraId="58563AB1"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C.D. POLITECNICO</w:t>
            </w:r>
          </w:p>
        </w:tc>
        <w:tc>
          <w:tcPr>
            <w:tcW w:w="1009" w:type="dxa"/>
            <w:shd w:val="clear" w:color="000000" w:fill="FFFFFF"/>
            <w:hideMark/>
          </w:tcPr>
          <w:p w14:paraId="7F167CB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4721511</w:t>
            </w:r>
          </w:p>
        </w:tc>
        <w:tc>
          <w:tcPr>
            <w:tcW w:w="2822" w:type="dxa"/>
            <w:shd w:val="clear" w:color="000000" w:fill="FFFFFF"/>
            <w:hideMark/>
          </w:tcPr>
          <w:p w14:paraId="1CBAEE8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 xml:space="preserve">KEINER DAVID </w:t>
            </w:r>
            <w:proofErr w:type="spellStart"/>
            <w:r w:rsidRPr="005F029B">
              <w:rPr>
                <w:rFonts w:ascii="Bookman Old Style" w:eastAsia="Times New Roman" w:hAnsi="Bookman Old Style" w:cs="Calibri"/>
                <w:color w:val="000000"/>
                <w:sz w:val="20"/>
                <w:szCs w:val="20"/>
                <w:lang w:val="es-CO"/>
              </w:rPr>
              <w:t>DAVID</w:t>
            </w:r>
            <w:proofErr w:type="spellEnd"/>
            <w:r w:rsidRPr="005F029B">
              <w:rPr>
                <w:rFonts w:ascii="Bookman Old Style" w:eastAsia="Times New Roman" w:hAnsi="Bookman Old Style" w:cs="Calibri"/>
                <w:color w:val="000000"/>
                <w:sz w:val="20"/>
                <w:szCs w:val="20"/>
                <w:lang w:val="es-CO"/>
              </w:rPr>
              <w:t xml:space="preserve"> OCHOA</w:t>
            </w:r>
          </w:p>
        </w:tc>
        <w:tc>
          <w:tcPr>
            <w:tcW w:w="2217" w:type="dxa"/>
            <w:shd w:val="clear" w:color="000000" w:fill="FFFFFF"/>
            <w:hideMark/>
          </w:tcPr>
          <w:p w14:paraId="4A5D11C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28259395" w14:textId="77777777" w:rsidTr="005F029B">
        <w:trPr>
          <w:trHeight w:val="284"/>
        </w:trPr>
        <w:tc>
          <w:tcPr>
            <w:tcW w:w="1634" w:type="dxa"/>
            <w:shd w:val="clear" w:color="000000" w:fill="FFFFFF"/>
            <w:hideMark/>
          </w:tcPr>
          <w:p w14:paraId="34F1030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GRUPO-B / PRIMERA C</w:t>
            </w:r>
          </w:p>
        </w:tc>
        <w:tc>
          <w:tcPr>
            <w:tcW w:w="2038" w:type="dxa"/>
            <w:shd w:val="clear" w:color="000000" w:fill="FFFFFF"/>
            <w:hideMark/>
          </w:tcPr>
          <w:p w14:paraId="1D0D3A6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C.D. POLITECNICO</w:t>
            </w:r>
          </w:p>
        </w:tc>
        <w:tc>
          <w:tcPr>
            <w:tcW w:w="1009" w:type="dxa"/>
            <w:shd w:val="clear" w:color="000000" w:fill="FFFFFF"/>
            <w:hideMark/>
          </w:tcPr>
          <w:p w14:paraId="1F86FAC8"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2797578</w:t>
            </w:r>
          </w:p>
        </w:tc>
        <w:tc>
          <w:tcPr>
            <w:tcW w:w="2822" w:type="dxa"/>
            <w:shd w:val="clear" w:color="000000" w:fill="FFFFFF"/>
            <w:hideMark/>
          </w:tcPr>
          <w:p w14:paraId="184F9151"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ISAIAS AGUDELO GIRALDO</w:t>
            </w:r>
          </w:p>
        </w:tc>
        <w:tc>
          <w:tcPr>
            <w:tcW w:w="2217" w:type="dxa"/>
            <w:shd w:val="clear" w:color="000000" w:fill="FFFFFF"/>
            <w:hideMark/>
          </w:tcPr>
          <w:p w14:paraId="3F868EEB"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 FECHA / Art. 63-B CDU FCF</w:t>
            </w:r>
          </w:p>
        </w:tc>
      </w:tr>
      <w:tr w:rsidR="005F029B" w:rsidRPr="005F029B" w14:paraId="1F2DAB0E" w14:textId="77777777" w:rsidTr="005F029B">
        <w:trPr>
          <w:trHeight w:val="284"/>
        </w:trPr>
        <w:tc>
          <w:tcPr>
            <w:tcW w:w="1634" w:type="dxa"/>
            <w:shd w:val="clear" w:color="000000" w:fill="FFFFFF"/>
            <w:hideMark/>
          </w:tcPr>
          <w:p w14:paraId="449B762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GRUPO-D / PRIMERA C</w:t>
            </w:r>
          </w:p>
        </w:tc>
        <w:tc>
          <w:tcPr>
            <w:tcW w:w="2038" w:type="dxa"/>
            <w:shd w:val="clear" w:color="000000" w:fill="FFFFFF"/>
            <w:hideMark/>
          </w:tcPr>
          <w:p w14:paraId="1B1154E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MANIZALES F.C</w:t>
            </w:r>
          </w:p>
        </w:tc>
        <w:tc>
          <w:tcPr>
            <w:tcW w:w="1009" w:type="dxa"/>
            <w:shd w:val="clear" w:color="000000" w:fill="FFFFFF"/>
            <w:hideMark/>
          </w:tcPr>
          <w:p w14:paraId="02F39A8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6200566</w:t>
            </w:r>
          </w:p>
        </w:tc>
        <w:tc>
          <w:tcPr>
            <w:tcW w:w="2822" w:type="dxa"/>
            <w:shd w:val="clear" w:color="000000" w:fill="FFFFFF"/>
            <w:hideMark/>
          </w:tcPr>
          <w:p w14:paraId="567C211B"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MICHAEL ANDRES RIVAS MEDINA-ENRENADOR</w:t>
            </w:r>
          </w:p>
        </w:tc>
        <w:tc>
          <w:tcPr>
            <w:tcW w:w="2217" w:type="dxa"/>
            <w:shd w:val="clear" w:color="000000" w:fill="FFFFFF"/>
            <w:hideMark/>
          </w:tcPr>
          <w:p w14:paraId="730EF08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4 FECHAS / Art. 64-B Art. 75-1 CDU FCF</w:t>
            </w:r>
          </w:p>
        </w:tc>
      </w:tr>
      <w:tr w:rsidR="005F029B" w:rsidRPr="005F029B" w14:paraId="226354EC" w14:textId="77777777" w:rsidTr="005F029B">
        <w:trPr>
          <w:trHeight w:val="284"/>
        </w:trPr>
        <w:tc>
          <w:tcPr>
            <w:tcW w:w="1634" w:type="dxa"/>
            <w:shd w:val="clear" w:color="000000" w:fill="FFFFFF"/>
            <w:hideMark/>
          </w:tcPr>
          <w:p w14:paraId="36080D6E"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GRUPO-D / PRIMERA C</w:t>
            </w:r>
          </w:p>
        </w:tc>
        <w:tc>
          <w:tcPr>
            <w:tcW w:w="2038" w:type="dxa"/>
            <w:shd w:val="clear" w:color="000000" w:fill="FFFFFF"/>
            <w:hideMark/>
          </w:tcPr>
          <w:p w14:paraId="6DF80A8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ATLETICO CAFETERO</w:t>
            </w:r>
          </w:p>
        </w:tc>
        <w:tc>
          <w:tcPr>
            <w:tcW w:w="1009" w:type="dxa"/>
            <w:shd w:val="clear" w:color="000000" w:fill="FFFFFF"/>
            <w:hideMark/>
          </w:tcPr>
          <w:p w14:paraId="5FB8C78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4531891</w:t>
            </w:r>
          </w:p>
        </w:tc>
        <w:tc>
          <w:tcPr>
            <w:tcW w:w="2822" w:type="dxa"/>
            <w:shd w:val="clear" w:color="000000" w:fill="FFFFFF"/>
            <w:hideMark/>
          </w:tcPr>
          <w:p w14:paraId="4ECAF12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CRISTIAN FERNANDO GARCIA BENAVIDEZ</w:t>
            </w:r>
          </w:p>
        </w:tc>
        <w:tc>
          <w:tcPr>
            <w:tcW w:w="2217" w:type="dxa"/>
            <w:shd w:val="clear" w:color="000000" w:fill="FFFFFF"/>
            <w:hideMark/>
          </w:tcPr>
          <w:p w14:paraId="5A91B1E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 FECHA / Art. 63-C CDU FCF</w:t>
            </w:r>
          </w:p>
        </w:tc>
      </w:tr>
      <w:tr w:rsidR="005F029B" w:rsidRPr="005F029B" w14:paraId="2014085E" w14:textId="77777777" w:rsidTr="005F029B">
        <w:trPr>
          <w:trHeight w:val="284"/>
        </w:trPr>
        <w:tc>
          <w:tcPr>
            <w:tcW w:w="1634" w:type="dxa"/>
            <w:shd w:val="clear" w:color="000000" w:fill="FFFFFF"/>
            <w:hideMark/>
          </w:tcPr>
          <w:p w14:paraId="57BD9F5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GRUPO-D / PRIMERA C</w:t>
            </w:r>
          </w:p>
        </w:tc>
        <w:tc>
          <w:tcPr>
            <w:tcW w:w="2038" w:type="dxa"/>
            <w:shd w:val="clear" w:color="000000" w:fill="FFFFFF"/>
            <w:hideMark/>
          </w:tcPr>
          <w:p w14:paraId="209618D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SOCRATES VALENCIA F.C</w:t>
            </w:r>
          </w:p>
        </w:tc>
        <w:tc>
          <w:tcPr>
            <w:tcW w:w="1009" w:type="dxa"/>
            <w:shd w:val="clear" w:color="000000" w:fill="FFFFFF"/>
            <w:hideMark/>
          </w:tcPr>
          <w:p w14:paraId="3943698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1804406</w:t>
            </w:r>
          </w:p>
        </w:tc>
        <w:tc>
          <w:tcPr>
            <w:tcW w:w="2822" w:type="dxa"/>
            <w:shd w:val="clear" w:color="000000" w:fill="FFFFFF"/>
            <w:hideMark/>
          </w:tcPr>
          <w:p w14:paraId="6A33A10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SANTIAGO GALLEGO RIVAS</w:t>
            </w:r>
          </w:p>
        </w:tc>
        <w:tc>
          <w:tcPr>
            <w:tcW w:w="2217" w:type="dxa"/>
            <w:shd w:val="clear" w:color="000000" w:fill="FFFFFF"/>
            <w:hideMark/>
          </w:tcPr>
          <w:p w14:paraId="59B56C9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64-B</w:t>
            </w:r>
          </w:p>
        </w:tc>
      </w:tr>
      <w:tr w:rsidR="005F029B" w:rsidRPr="005F029B" w14:paraId="2304A7FD" w14:textId="77777777" w:rsidTr="005F029B">
        <w:trPr>
          <w:trHeight w:val="284"/>
        </w:trPr>
        <w:tc>
          <w:tcPr>
            <w:tcW w:w="1634" w:type="dxa"/>
            <w:shd w:val="clear" w:color="000000" w:fill="FFFFFF"/>
            <w:hideMark/>
          </w:tcPr>
          <w:p w14:paraId="3B91CF5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GRUPO-I / PRIMERA C</w:t>
            </w:r>
          </w:p>
        </w:tc>
        <w:tc>
          <w:tcPr>
            <w:tcW w:w="2038" w:type="dxa"/>
            <w:shd w:val="clear" w:color="000000" w:fill="FFFFFF"/>
            <w:hideMark/>
          </w:tcPr>
          <w:p w14:paraId="63CD457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B&amp;O LOS EMBAJADORES</w:t>
            </w:r>
          </w:p>
        </w:tc>
        <w:tc>
          <w:tcPr>
            <w:tcW w:w="1009" w:type="dxa"/>
            <w:shd w:val="clear" w:color="000000" w:fill="FFFFFF"/>
            <w:hideMark/>
          </w:tcPr>
          <w:p w14:paraId="54EE5A1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3786881</w:t>
            </w:r>
          </w:p>
        </w:tc>
        <w:tc>
          <w:tcPr>
            <w:tcW w:w="2822" w:type="dxa"/>
            <w:shd w:val="clear" w:color="000000" w:fill="FFFFFF"/>
            <w:hideMark/>
          </w:tcPr>
          <w:p w14:paraId="5703143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KEYNER SANTHIAGO PALACIOS RODRIGUEZ</w:t>
            </w:r>
          </w:p>
        </w:tc>
        <w:tc>
          <w:tcPr>
            <w:tcW w:w="2217" w:type="dxa"/>
            <w:shd w:val="clear" w:color="000000" w:fill="FFFFFF"/>
            <w:hideMark/>
          </w:tcPr>
          <w:p w14:paraId="2C2BAFD1"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 FECHA / Art. 63-C CDU FCF</w:t>
            </w:r>
          </w:p>
        </w:tc>
      </w:tr>
      <w:tr w:rsidR="005F029B" w:rsidRPr="005F029B" w14:paraId="1578BA6F" w14:textId="77777777" w:rsidTr="005F029B">
        <w:trPr>
          <w:trHeight w:val="284"/>
        </w:trPr>
        <w:tc>
          <w:tcPr>
            <w:tcW w:w="1634" w:type="dxa"/>
            <w:shd w:val="clear" w:color="000000" w:fill="FFFFFF"/>
            <w:hideMark/>
          </w:tcPr>
          <w:p w14:paraId="04AD5E3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GRUPO-I / PRIMERA C</w:t>
            </w:r>
          </w:p>
        </w:tc>
        <w:tc>
          <w:tcPr>
            <w:tcW w:w="2038" w:type="dxa"/>
            <w:shd w:val="clear" w:color="000000" w:fill="FFFFFF"/>
            <w:hideMark/>
          </w:tcPr>
          <w:p w14:paraId="0A034A0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ATLETICO SALITRE</w:t>
            </w:r>
          </w:p>
        </w:tc>
        <w:tc>
          <w:tcPr>
            <w:tcW w:w="1009" w:type="dxa"/>
            <w:shd w:val="clear" w:color="000000" w:fill="FFFFFF"/>
            <w:hideMark/>
          </w:tcPr>
          <w:p w14:paraId="3B3AD7C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6597543</w:t>
            </w:r>
          </w:p>
        </w:tc>
        <w:tc>
          <w:tcPr>
            <w:tcW w:w="2822" w:type="dxa"/>
            <w:shd w:val="clear" w:color="000000" w:fill="FFFFFF"/>
            <w:hideMark/>
          </w:tcPr>
          <w:p w14:paraId="5B75288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SANTIAGO PINTO POLANCO</w:t>
            </w:r>
          </w:p>
        </w:tc>
        <w:tc>
          <w:tcPr>
            <w:tcW w:w="2217" w:type="dxa"/>
            <w:shd w:val="clear" w:color="000000" w:fill="FFFFFF"/>
            <w:hideMark/>
          </w:tcPr>
          <w:p w14:paraId="38A10CE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 FECHA / Art. 63-B CDU FCF</w:t>
            </w:r>
          </w:p>
        </w:tc>
      </w:tr>
      <w:tr w:rsidR="005F029B" w:rsidRPr="005F029B" w14:paraId="0B1481DC" w14:textId="77777777" w:rsidTr="005F029B">
        <w:trPr>
          <w:trHeight w:val="284"/>
        </w:trPr>
        <w:tc>
          <w:tcPr>
            <w:tcW w:w="1634" w:type="dxa"/>
            <w:shd w:val="clear" w:color="000000" w:fill="FFFFFF"/>
            <w:hideMark/>
          </w:tcPr>
          <w:p w14:paraId="5394F6D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GRUPO-I / PRIMERA C</w:t>
            </w:r>
          </w:p>
        </w:tc>
        <w:tc>
          <w:tcPr>
            <w:tcW w:w="2038" w:type="dxa"/>
            <w:shd w:val="clear" w:color="000000" w:fill="FFFFFF"/>
            <w:hideMark/>
          </w:tcPr>
          <w:p w14:paraId="14CF3B2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ESTRELLA ROJA</w:t>
            </w:r>
          </w:p>
        </w:tc>
        <w:tc>
          <w:tcPr>
            <w:tcW w:w="1009" w:type="dxa"/>
            <w:shd w:val="clear" w:color="000000" w:fill="FFFFFF"/>
            <w:hideMark/>
          </w:tcPr>
          <w:p w14:paraId="6D1D09D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2914713</w:t>
            </w:r>
          </w:p>
        </w:tc>
        <w:tc>
          <w:tcPr>
            <w:tcW w:w="2822" w:type="dxa"/>
            <w:shd w:val="clear" w:color="000000" w:fill="FFFFFF"/>
            <w:hideMark/>
          </w:tcPr>
          <w:p w14:paraId="0E0FE35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JOAN CAMILO OLMOS DURAN</w:t>
            </w:r>
          </w:p>
        </w:tc>
        <w:tc>
          <w:tcPr>
            <w:tcW w:w="2217" w:type="dxa"/>
            <w:shd w:val="clear" w:color="000000" w:fill="FFFFFF"/>
            <w:hideMark/>
          </w:tcPr>
          <w:p w14:paraId="1292214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624880AC" w14:textId="77777777" w:rsidTr="005F029B">
        <w:trPr>
          <w:trHeight w:val="284"/>
        </w:trPr>
        <w:tc>
          <w:tcPr>
            <w:tcW w:w="1634" w:type="dxa"/>
            <w:shd w:val="clear" w:color="000000" w:fill="FFFFFF"/>
            <w:hideMark/>
          </w:tcPr>
          <w:p w14:paraId="2CC6843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GRUPO-I / PRIMERA C</w:t>
            </w:r>
          </w:p>
        </w:tc>
        <w:tc>
          <w:tcPr>
            <w:tcW w:w="2038" w:type="dxa"/>
            <w:shd w:val="clear" w:color="000000" w:fill="FFFFFF"/>
            <w:hideMark/>
          </w:tcPr>
          <w:p w14:paraId="56CA89F8"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FUND. FIRST LEVEL</w:t>
            </w:r>
          </w:p>
        </w:tc>
        <w:tc>
          <w:tcPr>
            <w:tcW w:w="1009" w:type="dxa"/>
            <w:shd w:val="clear" w:color="000000" w:fill="FFFFFF"/>
            <w:hideMark/>
          </w:tcPr>
          <w:p w14:paraId="331BC91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6886447</w:t>
            </w:r>
          </w:p>
        </w:tc>
        <w:tc>
          <w:tcPr>
            <w:tcW w:w="2822" w:type="dxa"/>
            <w:shd w:val="clear" w:color="000000" w:fill="FFFFFF"/>
            <w:hideMark/>
          </w:tcPr>
          <w:p w14:paraId="4BFE0A3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BAYRON DE LA ROSA VARGAS</w:t>
            </w:r>
          </w:p>
        </w:tc>
        <w:tc>
          <w:tcPr>
            <w:tcW w:w="2217" w:type="dxa"/>
            <w:shd w:val="clear" w:color="000000" w:fill="FFFFFF"/>
            <w:hideMark/>
          </w:tcPr>
          <w:p w14:paraId="6BDB974E"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07067838" w14:textId="77777777" w:rsidTr="005F029B">
        <w:trPr>
          <w:trHeight w:val="284"/>
        </w:trPr>
        <w:tc>
          <w:tcPr>
            <w:tcW w:w="1634" w:type="dxa"/>
            <w:shd w:val="clear" w:color="000000" w:fill="FFFFFF"/>
            <w:hideMark/>
          </w:tcPr>
          <w:p w14:paraId="127D31B6"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GRUPO-J / PRIMERA C</w:t>
            </w:r>
          </w:p>
        </w:tc>
        <w:tc>
          <w:tcPr>
            <w:tcW w:w="2038" w:type="dxa"/>
            <w:shd w:val="clear" w:color="000000" w:fill="FFFFFF"/>
            <w:hideMark/>
          </w:tcPr>
          <w:p w14:paraId="67E8C3D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TIGRES FUTBOL CLUB S.A.</w:t>
            </w:r>
          </w:p>
        </w:tc>
        <w:tc>
          <w:tcPr>
            <w:tcW w:w="1009" w:type="dxa"/>
            <w:shd w:val="clear" w:color="000000" w:fill="FFFFFF"/>
            <w:hideMark/>
          </w:tcPr>
          <w:p w14:paraId="67AD2BA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7839869</w:t>
            </w:r>
          </w:p>
        </w:tc>
        <w:tc>
          <w:tcPr>
            <w:tcW w:w="2822" w:type="dxa"/>
            <w:shd w:val="clear" w:color="000000" w:fill="FFFFFF"/>
            <w:hideMark/>
          </w:tcPr>
          <w:p w14:paraId="7971644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JAIRO ANDRES BARONA ANGULO-ENTRENADOR</w:t>
            </w:r>
          </w:p>
        </w:tc>
        <w:tc>
          <w:tcPr>
            <w:tcW w:w="2217" w:type="dxa"/>
            <w:shd w:val="clear" w:color="000000" w:fill="FFFFFF"/>
            <w:hideMark/>
          </w:tcPr>
          <w:p w14:paraId="0E20451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6 FECHAS / Art. 64-B Art. 75-1 CDU FCF</w:t>
            </w:r>
          </w:p>
        </w:tc>
      </w:tr>
      <w:tr w:rsidR="005F029B" w:rsidRPr="005F029B" w14:paraId="5287EA1B" w14:textId="77777777" w:rsidTr="005F029B">
        <w:trPr>
          <w:trHeight w:val="284"/>
        </w:trPr>
        <w:tc>
          <w:tcPr>
            <w:tcW w:w="1634" w:type="dxa"/>
            <w:shd w:val="clear" w:color="000000" w:fill="FFFFFF"/>
            <w:hideMark/>
          </w:tcPr>
          <w:p w14:paraId="1E3EA40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6428914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CLUB GARZA GOL</w:t>
            </w:r>
          </w:p>
        </w:tc>
        <w:tc>
          <w:tcPr>
            <w:tcW w:w="1009" w:type="dxa"/>
            <w:shd w:val="clear" w:color="000000" w:fill="FFFFFF"/>
            <w:hideMark/>
          </w:tcPr>
          <w:p w14:paraId="0359B1E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3377149</w:t>
            </w:r>
          </w:p>
        </w:tc>
        <w:tc>
          <w:tcPr>
            <w:tcW w:w="2822" w:type="dxa"/>
            <w:shd w:val="clear" w:color="000000" w:fill="FFFFFF"/>
            <w:hideMark/>
          </w:tcPr>
          <w:p w14:paraId="230B8AD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LEINER CASTILLO ORTIZ</w:t>
            </w:r>
          </w:p>
        </w:tc>
        <w:tc>
          <w:tcPr>
            <w:tcW w:w="2217" w:type="dxa"/>
            <w:shd w:val="clear" w:color="000000" w:fill="FFFFFF"/>
            <w:hideMark/>
          </w:tcPr>
          <w:p w14:paraId="0CDB423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1 FECHA / Art. 63-C CDU FCF</w:t>
            </w:r>
          </w:p>
        </w:tc>
      </w:tr>
      <w:tr w:rsidR="005F029B" w:rsidRPr="005F029B" w14:paraId="12BE73C4" w14:textId="77777777" w:rsidTr="005F029B">
        <w:trPr>
          <w:trHeight w:val="284"/>
        </w:trPr>
        <w:tc>
          <w:tcPr>
            <w:tcW w:w="1634" w:type="dxa"/>
            <w:shd w:val="clear" w:color="000000" w:fill="FFFFFF"/>
            <w:hideMark/>
          </w:tcPr>
          <w:p w14:paraId="432CFB81"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2FB95AB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ELITE MELGAR</w:t>
            </w:r>
          </w:p>
        </w:tc>
        <w:tc>
          <w:tcPr>
            <w:tcW w:w="1009" w:type="dxa"/>
            <w:shd w:val="clear" w:color="000000" w:fill="FFFFFF"/>
            <w:hideMark/>
          </w:tcPr>
          <w:p w14:paraId="74D9993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5041576</w:t>
            </w:r>
          </w:p>
        </w:tc>
        <w:tc>
          <w:tcPr>
            <w:tcW w:w="2822" w:type="dxa"/>
            <w:shd w:val="clear" w:color="000000" w:fill="FFFFFF"/>
            <w:hideMark/>
          </w:tcPr>
          <w:p w14:paraId="5AD8779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ANDRES MAURICIO RAMIREZ BARRIOS</w:t>
            </w:r>
          </w:p>
        </w:tc>
        <w:tc>
          <w:tcPr>
            <w:tcW w:w="2217" w:type="dxa"/>
            <w:shd w:val="clear" w:color="000000" w:fill="FFFFFF"/>
            <w:hideMark/>
          </w:tcPr>
          <w:p w14:paraId="3D70281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64-B</w:t>
            </w:r>
          </w:p>
        </w:tc>
      </w:tr>
      <w:tr w:rsidR="005F029B" w:rsidRPr="005F029B" w14:paraId="5D865A57" w14:textId="77777777" w:rsidTr="005F029B">
        <w:trPr>
          <w:trHeight w:val="284"/>
        </w:trPr>
        <w:tc>
          <w:tcPr>
            <w:tcW w:w="1634" w:type="dxa"/>
            <w:shd w:val="clear" w:color="000000" w:fill="FFFFFF"/>
            <w:hideMark/>
          </w:tcPr>
          <w:p w14:paraId="2F6BDA48"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57A1B8D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ELITE MELGAR</w:t>
            </w:r>
          </w:p>
        </w:tc>
        <w:tc>
          <w:tcPr>
            <w:tcW w:w="1009" w:type="dxa"/>
            <w:shd w:val="clear" w:color="000000" w:fill="FFFFFF"/>
            <w:hideMark/>
          </w:tcPr>
          <w:p w14:paraId="723D3B9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2530309</w:t>
            </w:r>
          </w:p>
        </w:tc>
        <w:tc>
          <w:tcPr>
            <w:tcW w:w="2822" w:type="dxa"/>
            <w:shd w:val="clear" w:color="000000" w:fill="FFFFFF"/>
            <w:hideMark/>
          </w:tcPr>
          <w:p w14:paraId="3224ED9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OSCAR MORENO MURILLO</w:t>
            </w:r>
          </w:p>
        </w:tc>
        <w:tc>
          <w:tcPr>
            <w:tcW w:w="2217" w:type="dxa"/>
            <w:shd w:val="clear" w:color="000000" w:fill="FFFFFF"/>
            <w:hideMark/>
          </w:tcPr>
          <w:p w14:paraId="4DBCC2B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3386DE0A" w14:textId="77777777" w:rsidTr="005F029B">
        <w:trPr>
          <w:trHeight w:val="284"/>
        </w:trPr>
        <w:tc>
          <w:tcPr>
            <w:tcW w:w="1634" w:type="dxa"/>
            <w:shd w:val="clear" w:color="000000" w:fill="FFFFFF"/>
            <w:hideMark/>
          </w:tcPr>
          <w:p w14:paraId="0644AB7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lastRenderedPageBreak/>
              <w:t>GRUPO-M / PRIMERA C</w:t>
            </w:r>
          </w:p>
        </w:tc>
        <w:tc>
          <w:tcPr>
            <w:tcW w:w="2038" w:type="dxa"/>
            <w:shd w:val="clear" w:color="000000" w:fill="FFFFFF"/>
            <w:hideMark/>
          </w:tcPr>
          <w:p w14:paraId="13732211"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ELITE MELGAR</w:t>
            </w:r>
          </w:p>
        </w:tc>
        <w:tc>
          <w:tcPr>
            <w:tcW w:w="1009" w:type="dxa"/>
            <w:shd w:val="clear" w:color="000000" w:fill="FFFFFF"/>
            <w:hideMark/>
          </w:tcPr>
          <w:p w14:paraId="42EEA93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5977677</w:t>
            </w:r>
          </w:p>
        </w:tc>
        <w:tc>
          <w:tcPr>
            <w:tcW w:w="2822" w:type="dxa"/>
            <w:shd w:val="clear" w:color="000000" w:fill="FFFFFF"/>
            <w:hideMark/>
          </w:tcPr>
          <w:p w14:paraId="58DF5270"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RONY SNEIDER LOPEZ AVILA</w:t>
            </w:r>
          </w:p>
        </w:tc>
        <w:tc>
          <w:tcPr>
            <w:tcW w:w="2217" w:type="dxa"/>
            <w:shd w:val="clear" w:color="000000" w:fill="FFFFFF"/>
            <w:hideMark/>
          </w:tcPr>
          <w:p w14:paraId="0A6A854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30DDA61B" w14:textId="77777777" w:rsidTr="005F029B">
        <w:trPr>
          <w:trHeight w:val="284"/>
        </w:trPr>
        <w:tc>
          <w:tcPr>
            <w:tcW w:w="1634" w:type="dxa"/>
            <w:shd w:val="clear" w:color="000000" w:fill="FFFFFF"/>
            <w:hideMark/>
          </w:tcPr>
          <w:p w14:paraId="5800EDC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36AF352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VILLA DE LAS PALMAS</w:t>
            </w:r>
          </w:p>
        </w:tc>
        <w:tc>
          <w:tcPr>
            <w:tcW w:w="1009" w:type="dxa"/>
            <w:shd w:val="clear" w:color="000000" w:fill="FFFFFF"/>
            <w:hideMark/>
          </w:tcPr>
          <w:p w14:paraId="7A96D9AE"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6059101</w:t>
            </w:r>
          </w:p>
        </w:tc>
        <w:tc>
          <w:tcPr>
            <w:tcW w:w="2822" w:type="dxa"/>
            <w:shd w:val="clear" w:color="000000" w:fill="FFFFFF"/>
            <w:hideMark/>
          </w:tcPr>
          <w:p w14:paraId="0829D11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ANDRES FELIPE CASTRO CARDOZO</w:t>
            </w:r>
          </w:p>
        </w:tc>
        <w:tc>
          <w:tcPr>
            <w:tcW w:w="2217" w:type="dxa"/>
            <w:shd w:val="clear" w:color="000000" w:fill="FFFFFF"/>
            <w:hideMark/>
          </w:tcPr>
          <w:p w14:paraId="47480466"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767E33F6" w14:textId="77777777" w:rsidTr="005F029B">
        <w:trPr>
          <w:trHeight w:val="284"/>
        </w:trPr>
        <w:tc>
          <w:tcPr>
            <w:tcW w:w="1634" w:type="dxa"/>
            <w:shd w:val="clear" w:color="000000" w:fill="FFFFFF"/>
            <w:hideMark/>
          </w:tcPr>
          <w:p w14:paraId="423A269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4BE80F7B"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C.D. TALENTOS NEIVA</w:t>
            </w:r>
          </w:p>
        </w:tc>
        <w:tc>
          <w:tcPr>
            <w:tcW w:w="1009" w:type="dxa"/>
            <w:shd w:val="clear" w:color="000000" w:fill="FFFFFF"/>
            <w:hideMark/>
          </w:tcPr>
          <w:p w14:paraId="20A6AF3D"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7438908</w:t>
            </w:r>
          </w:p>
        </w:tc>
        <w:tc>
          <w:tcPr>
            <w:tcW w:w="2822" w:type="dxa"/>
            <w:shd w:val="clear" w:color="000000" w:fill="FFFFFF"/>
            <w:hideMark/>
          </w:tcPr>
          <w:p w14:paraId="359D6A90"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JEFERSON NAZARIT RODALLEGA</w:t>
            </w:r>
          </w:p>
        </w:tc>
        <w:tc>
          <w:tcPr>
            <w:tcW w:w="2217" w:type="dxa"/>
            <w:shd w:val="clear" w:color="000000" w:fill="FFFFFF"/>
            <w:hideMark/>
          </w:tcPr>
          <w:p w14:paraId="730DE10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35F34E82" w14:textId="77777777" w:rsidTr="005F029B">
        <w:trPr>
          <w:trHeight w:val="284"/>
        </w:trPr>
        <w:tc>
          <w:tcPr>
            <w:tcW w:w="1634" w:type="dxa"/>
            <w:shd w:val="clear" w:color="000000" w:fill="FFFFFF"/>
            <w:hideMark/>
          </w:tcPr>
          <w:p w14:paraId="629C5894"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22FF1B7B"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DEPORNEIVA</w:t>
            </w:r>
          </w:p>
        </w:tc>
        <w:tc>
          <w:tcPr>
            <w:tcW w:w="1009" w:type="dxa"/>
            <w:shd w:val="clear" w:color="000000" w:fill="FFFFFF"/>
            <w:hideMark/>
          </w:tcPr>
          <w:p w14:paraId="2FCDFED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2464442</w:t>
            </w:r>
          </w:p>
        </w:tc>
        <w:tc>
          <w:tcPr>
            <w:tcW w:w="2822" w:type="dxa"/>
            <w:shd w:val="clear" w:color="000000" w:fill="FFFFFF"/>
            <w:hideMark/>
          </w:tcPr>
          <w:p w14:paraId="0CB78BE7"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HERNAN DARIO HERNANDEZ HUEPA</w:t>
            </w:r>
          </w:p>
        </w:tc>
        <w:tc>
          <w:tcPr>
            <w:tcW w:w="2217" w:type="dxa"/>
            <w:shd w:val="clear" w:color="000000" w:fill="FFFFFF"/>
            <w:hideMark/>
          </w:tcPr>
          <w:p w14:paraId="787EDD0E"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022C457F" w14:textId="77777777" w:rsidTr="005F029B">
        <w:trPr>
          <w:trHeight w:val="284"/>
        </w:trPr>
        <w:tc>
          <w:tcPr>
            <w:tcW w:w="1634" w:type="dxa"/>
            <w:shd w:val="clear" w:color="000000" w:fill="FFFFFF"/>
            <w:hideMark/>
          </w:tcPr>
          <w:p w14:paraId="5217A4C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GRUPO-M / PRIMERA C</w:t>
            </w:r>
          </w:p>
        </w:tc>
        <w:tc>
          <w:tcPr>
            <w:tcW w:w="2038" w:type="dxa"/>
            <w:shd w:val="clear" w:color="000000" w:fill="FFFFFF"/>
            <w:hideMark/>
          </w:tcPr>
          <w:p w14:paraId="701907B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DEPORNEIVA</w:t>
            </w:r>
          </w:p>
        </w:tc>
        <w:tc>
          <w:tcPr>
            <w:tcW w:w="1009" w:type="dxa"/>
            <w:shd w:val="clear" w:color="000000" w:fill="FFFFFF"/>
            <w:hideMark/>
          </w:tcPr>
          <w:p w14:paraId="0B49AB6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2465200</w:t>
            </w:r>
          </w:p>
        </w:tc>
        <w:tc>
          <w:tcPr>
            <w:tcW w:w="2822" w:type="dxa"/>
            <w:shd w:val="clear" w:color="000000" w:fill="FFFFFF"/>
            <w:hideMark/>
          </w:tcPr>
          <w:p w14:paraId="244189F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JAIVER STIVEN GONZALEZ TAPIA</w:t>
            </w:r>
          </w:p>
        </w:tc>
        <w:tc>
          <w:tcPr>
            <w:tcW w:w="2217" w:type="dxa"/>
            <w:shd w:val="clear" w:color="000000" w:fill="FFFFFF"/>
            <w:hideMark/>
          </w:tcPr>
          <w:p w14:paraId="01570375"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r w:rsidR="005F029B" w:rsidRPr="005F029B" w14:paraId="41F613F3" w14:textId="77777777" w:rsidTr="005F029B">
        <w:trPr>
          <w:trHeight w:val="284"/>
        </w:trPr>
        <w:tc>
          <w:tcPr>
            <w:tcW w:w="1634" w:type="dxa"/>
            <w:shd w:val="clear" w:color="000000" w:fill="FFFFFF"/>
            <w:hideMark/>
          </w:tcPr>
          <w:p w14:paraId="7772D02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GRUPO-O / PRIMERA C</w:t>
            </w:r>
          </w:p>
        </w:tc>
        <w:tc>
          <w:tcPr>
            <w:tcW w:w="2038" w:type="dxa"/>
            <w:shd w:val="clear" w:color="000000" w:fill="FFFFFF"/>
            <w:hideMark/>
          </w:tcPr>
          <w:p w14:paraId="0AA79A2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CLUB PAZ Y FUTURO</w:t>
            </w:r>
          </w:p>
        </w:tc>
        <w:tc>
          <w:tcPr>
            <w:tcW w:w="1009" w:type="dxa"/>
            <w:shd w:val="clear" w:color="000000" w:fill="FFFFFF"/>
            <w:hideMark/>
          </w:tcPr>
          <w:p w14:paraId="5AD0B330"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2498456</w:t>
            </w:r>
          </w:p>
        </w:tc>
        <w:tc>
          <w:tcPr>
            <w:tcW w:w="2822" w:type="dxa"/>
            <w:shd w:val="clear" w:color="000000" w:fill="FFFFFF"/>
            <w:hideMark/>
          </w:tcPr>
          <w:p w14:paraId="1377120E" w14:textId="12B9E6A4"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YEFFRY JOHANTH CUADRO MONTERROSA-</w:t>
            </w:r>
            <w:r w:rsidRPr="005F029B">
              <w:rPr>
                <w:rFonts w:ascii="Bookman Old Style" w:eastAsia="Times New Roman" w:hAnsi="Bookman Old Style" w:cs="Calibri"/>
                <w:color w:val="000000"/>
                <w:sz w:val="20"/>
                <w:szCs w:val="20"/>
                <w:lang w:val="es-CO"/>
              </w:rPr>
              <w:t>C. TECNICO</w:t>
            </w:r>
          </w:p>
        </w:tc>
        <w:tc>
          <w:tcPr>
            <w:tcW w:w="2217" w:type="dxa"/>
            <w:shd w:val="clear" w:color="000000" w:fill="FFFFFF"/>
            <w:hideMark/>
          </w:tcPr>
          <w:p w14:paraId="59FC5FD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4 FECHAS / Art. 64-B Art. 75-1 CDU FCF</w:t>
            </w:r>
          </w:p>
        </w:tc>
      </w:tr>
      <w:tr w:rsidR="005F029B" w:rsidRPr="005F029B" w14:paraId="3C3AC385" w14:textId="77777777" w:rsidTr="005F029B">
        <w:trPr>
          <w:trHeight w:val="284"/>
        </w:trPr>
        <w:tc>
          <w:tcPr>
            <w:tcW w:w="1634" w:type="dxa"/>
            <w:shd w:val="clear" w:color="000000" w:fill="FFFFFF"/>
            <w:hideMark/>
          </w:tcPr>
          <w:p w14:paraId="18681E6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GRUPO-O / PRIMERA C</w:t>
            </w:r>
          </w:p>
        </w:tc>
        <w:tc>
          <w:tcPr>
            <w:tcW w:w="2038" w:type="dxa"/>
            <w:shd w:val="clear" w:color="000000" w:fill="FFFFFF"/>
            <w:hideMark/>
          </w:tcPr>
          <w:p w14:paraId="6D62458E"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TAL. CARTAGENEROS</w:t>
            </w:r>
          </w:p>
        </w:tc>
        <w:tc>
          <w:tcPr>
            <w:tcW w:w="1009" w:type="dxa"/>
            <w:shd w:val="clear" w:color="000000" w:fill="FFFFFF"/>
            <w:hideMark/>
          </w:tcPr>
          <w:p w14:paraId="6E133C0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3816423</w:t>
            </w:r>
          </w:p>
        </w:tc>
        <w:tc>
          <w:tcPr>
            <w:tcW w:w="2822" w:type="dxa"/>
            <w:shd w:val="clear" w:color="000000" w:fill="FFFFFF"/>
            <w:hideMark/>
          </w:tcPr>
          <w:p w14:paraId="72F240CA"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ROBERTO CARLOS PEÑA AREVALO</w:t>
            </w:r>
          </w:p>
        </w:tc>
        <w:tc>
          <w:tcPr>
            <w:tcW w:w="2217" w:type="dxa"/>
            <w:shd w:val="clear" w:color="000000" w:fill="FFFFFF"/>
            <w:hideMark/>
          </w:tcPr>
          <w:p w14:paraId="52AC6F68"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64-B</w:t>
            </w:r>
          </w:p>
        </w:tc>
      </w:tr>
      <w:tr w:rsidR="005F029B" w:rsidRPr="005F029B" w14:paraId="61481B7F" w14:textId="77777777" w:rsidTr="005F029B">
        <w:trPr>
          <w:trHeight w:val="284"/>
        </w:trPr>
        <w:tc>
          <w:tcPr>
            <w:tcW w:w="1634" w:type="dxa"/>
            <w:shd w:val="clear" w:color="000000" w:fill="FFFFFF"/>
            <w:hideMark/>
          </w:tcPr>
          <w:p w14:paraId="356B9DE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GRUPO-P / PRIMERA C</w:t>
            </w:r>
          </w:p>
        </w:tc>
        <w:tc>
          <w:tcPr>
            <w:tcW w:w="2038" w:type="dxa"/>
            <w:shd w:val="clear" w:color="000000" w:fill="FFFFFF"/>
            <w:hideMark/>
          </w:tcPr>
          <w:p w14:paraId="7C94B566"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NAPOLES</w:t>
            </w:r>
          </w:p>
        </w:tc>
        <w:tc>
          <w:tcPr>
            <w:tcW w:w="1009" w:type="dxa"/>
            <w:shd w:val="clear" w:color="000000" w:fill="FFFFFF"/>
            <w:hideMark/>
          </w:tcPr>
          <w:p w14:paraId="70000323"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8315031</w:t>
            </w:r>
          </w:p>
        </w:tc>
        <w:tc>
          <w:tcPr>
            <w:tcW w:w="2822" w:type="dxa"/>
            <w:shd w:val="clear" w:color="000000" w:fill="FFFFFF"/>
            <w:hideMark/>
          </w:tcPr>
          <w:p w14:paraId="4B8543EF"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JAIRO MANUEL PUELLO CASTRO-ENTRENADOR</w:t>
            </w:r>
          </w:p>
        </w:tc>
        <w:tc>
          <w:tcPr>
            <w:tcW w:w="2217" w:type="dxa"/>
            <w:shd w:val="clear" w:color="000000" w:fill="FFFFFF"/>
            <w:hideMark/>
          </w:tcPr>
          <w:p w14:paraId="528C0928"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4 FECHAS / Art. 64-B Art. 75-1 CDU FCF</w:t>
            </w:r>
          </w:p>
        </w:tc>
      </w:tr>
      <w:tr w:rsidR="005F029B" w:rsidRPr="005F029B" w14:paraId="2355BC8E" w14:textId="77777777" w:rsidTr="005F029B">
        <w:trPr>
          <w:trHeight w:val="284"/>
        </w:trPr>
        <w:tc>
          <w:tcPr>
            <w:tcW w:w="1634" w:type="dxa"/>
            <w:shd w:val="clear" w:color="000000" w:fill="FFFFFF"/>
            <w:hideMark/>
          </w:tcPr>
          <w:p w14:paraId="2653BA6B"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GRUPO-T / PRIMERA C</w:t>
            </w:r>
          </w:p>
        </w:tc>
        <w:tc>
          <w:tcPr>
            <w:tcW w:w="2038" w:type="dxa"/>
            <w:shd w:val="clear" w:color="000000" w:fill="FFFFFF"/>
            <w:hideMark/>
          </w:tcPr>
          <w:p w14:paraId="7523683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LA PROVINCIA F.C</w:t>
            </w:r>
          </w:p>
        </w:tc>
        <w:tc>
          <w:tcPr>
            <w:tcW w:w="1009" w:type="dxa"/>
            <w:shd w:val="clear" w:color="000000" w:fill="FFFFFF"/>
            <w:hideMark/>
          </w:tcPr>
          <w:p w14:paraId="6A613162"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2462960</w:t>
            </w:r>
          </w:p>
        </w:tc>
        <w:tc>
          <w:tcPr>
            <w:tcW w:w="2822" w:type="dxa"/>
            <w:shd w:val="clear" w:color="000000" w:fill="FFFFFF"/>
            <w:hideMark/>
          </w:tcPr>
          <w:p w14:paraId="2DB07A1C"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ALEX DANIEL PARADA GUERERO</w:t>
            </w:r>
          </w:p>
        </w:tc>
        <w:tc>
          <w:tcPr>
            <w:tcW w:w="2217" w:type="dxa"/>
            <w:shd w:val="clear" w:color="000000" w:fill="FFFFFF"/>
            <w:hideMark/>
          </w:tcPr>
          <w:p w14:paraId="66494129" w14:textId="77777777" w:rsidR="005F029B" w:rsidRPr="005F029B" w:rsidRDefault="005F029B" w:rsidP="005F029B">
            <w:pPr>
              <w:spacing w:after="0" w:line="240" w:lineRule="auto"/>
              <w:rPr>
                <w:rFonts w:ascii="Bookman Old Style" w:eastAsia="Times New Roman" w:hAnsi="Bookman Old Style" w:cs="Calibri"/>
                <w:color w:val="000000"/>
                <w:sz w:val="20"/>
                <w:szCs w:val="20"/>
                <w:lang w:val="es-CO"/>
              </w:rPr>
            </w:pPr>
            <w:r w:rsidRPr="005F029B">
              <w:rPr>
                <w:rFonts w:ascii="Bookman Old Style" w:eastAsia="Times New Roman" w:hAnsi="Bookman Old Style" w:cs="Calibri"/>
                <w:color w:val="000000"/>
                <w:sz w:val="20"/>
                <w:szCs w:val="20"/>
                <w:lang w:val="es-CO"/>
              </w:rPr>
              <w:t>3 FECHAS / Art. 63-D CDU FF</w:t>
            </w:r>
          </w:p>
        </w:tc>
      </w:tr>
    </w:tbl>
    <w:p w14:paraId="7B75723B" w14:textId="77777777" w:rsidR="005F029B" w:rsidRDefault="005F029B">
      <w:pPr>
        <w:spacing w:before="240" w:after="0"/>
        <w:jc w:val="both"/>
        <w:rPr>
          <w:rFonts w:ascii="Bookman Old Style" w:eastAsia="Bookman Old Style" w:hAnsi="Bookman Old Style" w:cs="Bookman Old Style"/>
        </w:rPr>
      </w:pPr>
    </w:p>
    <w:p w14:paraId="62FFD4B8" w14:textId="77777777" w:rsidR="005F029B" w:rsidRDefault="005F029B">
      <w:pPr>
        <w:spacing w:before="240" w:after="0"/>
        <w:jc w:val="both"/>
        <w:rPr>
          <w:rFonts w:ascii="Bookman Old Style" w:eastAsia="Bookman Old Style" w:hAnsi="Bookman Old Style" w:cs="Bookman Old Style"/>
        </w:rPr>
      </w:pPr>
    </w:p>
    <w:p w14:paraId="71B3AB4C" w14:textId="63AC45D4" w:rsidR="00C85AFB" w:rsidRDefault="00000000">
      <w:pPr>
        <w:spacing w:before="240" w:after="0"/>
        <w:jc w:val="both"/>
        <w:rPr>
          <w:rFonts w:ascii="Bookman Old Style" w:eastAsia="Bookman Old Style" w:hAnsi="Bookman Old Style" w:cs="Bookman Old Style"/>
        </w:rPr>
      </w:pPr>
      <w:r>
        <w:rPr>
          <w:rFonts w:ascii="Bookman Old Style" w:eastAsia="Bookman Old Style" w:hAnsi="Bookman Old Style" w:cs="Bookman Old Style"/>
        </w:rPr>
        <w:t>Bogotá, D.C., 28 de agosto de 2025</w:t>
      </w:r>
    </w:p>
    <w:p w14:paraId="14BF81EA" w14:textId="77777777" w:rsidR="00C85AFB" w:rsidRDefault="00C85AFB">
      <w:pPr>
        <w:rPr>
          <w:rFonts w:ascii="Bookman Old Style" w:eastAsia="Bookman Old Style" w:hAnsi="Bookman Old Style" w:cs="Bookman Old Style"/>
          <w:u w:val="single"/>
        </w:rPr>
      </w:pPr>
    </w:p>
    <w:p w14:paraId="11E7B8DD" w14:textId="77777777" w:rsidR="00C85AFB" w:rsidRDefault="00000000">
      <w:pPr>
        <w:jc w:val="center"/>
        <w:rPr>
          <w:rFonts w:ascii="Bookman Old Style" w:eastAsia="Bookman Old Style" w:hAnsi="Bookman Old Style" w:cs="Bookman Old Style"/>
          <w:b/>
        </w:rPr>
      </w:pPr>
      <w:r>
        <w:rPr>
          <w:rFonts w:ascii="Bookman Old Style" w:eastAsia="Bookman Old Style" w:hAnsi="Bookman Old Style" w:cs="Bookman Old Style"/>
          <w:b/>
        </w:rPr>
        <w:t>PUBLÍQUESE, NOTIFÍQUESE Y CÚMPLASE.</w:t>
      </w:r>
    </w:p>
    <w:tbl>
      <w:tblPr>
        <w:tblStyle w:val="afffe"/>
        <w:tblW w:w="8838" w:type="dxa"/>
        <w:tblInd w:w="0" w:type="dxa"/>
        <w:tblLayout w:type="fixed"/>
        <w:tblLook w:val="0400" w:firstRow="0" w:lastRow="0" w:firstColumn="0" w:lastColumn="0" w:noHBand="0" w:noVBand="1"/>
      </w:tblPr>
      <w:tblGrid>
        <w:gridCol w:w="4425"/>
        <w:gridCol w:w="4413"/>
      </w:tblGrid>
      <w:tr w:rsidR="00C85AFB" w14:paraId="2EE9F886" w14:textId="77777777">
        <w:tc>
          <w:tcPr>
            <w:tcW w:w="4425" w:type="dxa"/>
          </w:tcPr>
          <w:p w14:paraId="01ABBB60" w14:textId="77777777" w:rsidR="00C85AFB" w:rsidRDefault="00C85AFB">
            <w:pPr>
              <w:widowControl w:val="0"/>
              <w:spacing w:after="0" w:line="240" w:lineRule="auto"/>
              <w:jc w:val="center"/>
              <w:rPr>
                <w:rFonts w:ascii="Bookman Old Style" w:eastAsia="Bookman Old Style" w:hAnsi="Bookman Old Style" w:cs="Bookman Old Style"/>
                <w:b/>
                <w:i/>
              </w:rPr>
            </w:pPr>
          </w:p>
          <w:p w14:paraId="343FF11F" w14:textId="77777777" w:rsidR="00C85AFB" w:rsidRDefault="00C85AFB">
            <w:pPr>
              <w:widowControl w:val="0"/>
              <w:spacing w:after="0" w:line="240" w:lineRule="auto"/>
              <w:jc w:val="center"/>
              <w:rPr>
                <w:rFonts w:ascii="Bookman Old Style" w:eastAsia="Bookman Old Style" w:hAnsi="Bookman Old Style" w:cs="Bookman Old Style"/>
                <w:i/>
              </w:rPr>
            </w:pPr>
          </w:p>
          <w:p w14:paraId="1412024A" w14:textId="77777777" w:rsidR="00C85AFB" w:rsidRDefault="00000000">
            <w:pPr>
              <w:widowControl w:val="0"/>
              <w:spacing w:after="0" w:line="240" w:lineRule="auto"/>
              <w:jc w:val="center"/>
              <w:rPr>
                <w:rFonts w:ascii="Bookman Old Style" w:eastAsia="Bookman Old Style" w:hAnsi="Bookman Old Style" w:cs="Bookman Old Style"/>
                <w:i/>
              </w:rPr>
            </w:pPr>
            <w:r>
              <w:rPr>
                <w:rFonts w:ascii="Bookman Old Style" w:eastAsia="Bookman Old Style" w:hAnsi="Bookman Old Style" w:cs="Bookman Old Style"/>
                <w:i/>
              </w:rPr>
              <w:t>Original Firmado</w:t>
            </w:r>
          </w:p>
          <w:p w14:paraId="11EE9B11"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JUAN CAMILO LÓPEZ</w:t>
            </w:r>
          </w:p>
          <w:p w14:paraId="09BF87E9"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Presidente</w:t>
            </w:r>
          </w:p>
        </w:tc>
        <w:tc>
          <w:tcPr>
            <w:tcW w:w="4413" w:type="dxa"/>
          </w:tcPr>
          <w:p w14:paraId="13CDB9FB" w14:textId="77777777" w:rsidR="00C85AFB" w:rsidRDefault="00C85AFB">
            <w:pPr>
              <w:widowControl w:val="0"/>
              <w:spacing w:after="0" w:line="240" w:lineRule="auto"/>
              <w:rPr>
                <w:rFonts w:ascii="Bookman Old Style" w:eastAsia="Bookman Old Style" w:hAnsi="Bookman Old Style" w:cs="Bookman Old Style"/>
                <w:b/>
                <w:i/>
              </w:rPr>
            </w:pPr>
          </w:p>
          <w:p w14:paraId="56649ED6" w14:textId="77777777" w:rsidR="00C85AFB" w:rsidRDefault="00C85AFB">
            <w:pPr>
              <w:widowControl w:val="0"/>
              <w:spacing w:after="0" w:line="240" w:lineRule="auto"/>
              <w:rPr>
                <w:rFonts w:ascii="Bookman Old Style" w:eastAsia="Bookman Old Style" w:hAnsi="Bookman Old Style" w:cs="Bookman Old Style"/>
                <w:b/>
                <w:i/>
              </w:rPr>
            </w:pPr>
          </w:p>
          <w:p w14:paraId="6D2E4A9C" w14:textId="77777777" w:rsidR="00C85AFB" w:rsidRDefault="00000000">
            <w:pPr>
              <w:widowControl w:val="0"/>
              <w:spacing w:after="0" w:line="240" w:lineRule="auto"/>
              <w:jc w:val="center"/>
              <w:rPr>
                <w:rFonts w:ascii="Bookman Old Style" w:eastAsia="Bookman Old Style" w:hAnsi="Bookman Old Style" w:cs="Bookman Old Style"/>
                <w:b/>
                <w:i/>
              </w:rPr>
            </w:pPr>
            <w:r>
              <w:rPr>
                <w:rFonts w:ascii="Bookman Old Style" w:eastAsia="Bookman Old Style" w:hAnsi="Bookman Old Style" w:cs="Bookman Old Style"/>
                <w:i/>
              </w:rPr>
              <w:t>Original Firmado</w:t>
            </w:r>
          </w:p>
          <w:p w14:paraId="23F13ED5"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FABIÁN LÓPEZ TEJEDA</w:t>
            </w:r>
          </w:p>
          <w:p w14:paraId="7904241A" w14:textId="77777777" w:rsidR="00C85AFB" w:rsidRDefault="00000000">
            <w:pPr>
              <w:widowControl w:val="0"/>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Secretario</w:t>
            </w:r>
          </w:p>
        </w:tc>
      </w:tr>
      <w:tr w:rsidR="00C85AFB" w14:paraId="662218CD" w14:textId="77777777">
        <w:tc>
          <w:tcPr>
            <w:tcW w:w="4425" w:type="dxa"/>
          </w:tcPr>
          <w:p w14:paraId="60F008EA" w14:textId="77777777" w:rsidR="00C85AFB" w:rsidRDefault="00C85AFB">
            <w:pPr>
              <w:widowControl w:val="0"/>
              <w:spacing w:after="0" w:line="240" w:lineRule="auto"/>
              <w:jc w:val="center"/>
              <w:rPr>
                <w:rFonts w:ascii="Bookman Old Style" w:eastAsia="Bookman Old Style" w:hAnsi="Bookman Old Style" w:cs="Bookman Old Style"/>
                <w:b/>
                <w:i/>
              </w:rPr>
            </w:pPr>
          </w:p>
        </w:tc>
        <w:tc>
          <w:tcPr>
            <w:tcW w:w="4413" w:type="dxa"/>
          </w:tcPr>
          <w:p w14:paraId="7392E9D9" w14:textId="77777777" w:rsidR="00C85AFB" w:rsidRDefault="00C85AFB">
            <w:pPr>
              <w:widowControl w:val="0"/>
              <w:spacing w:after="0" w:line="240" w:lineRule="auto"/>
              <w:rPr>
                <w:rFonts w:ascii="Bookman Old Style" w:eastAsia="Bookman Old Style" w:hAnsi="Bookman Old Style" w:cs="Bookman Old Style"/>
                <w:b/>
                <w:i/>
              </w:rPr>
            </w:pPr>
          </w:p>
        </w:tc>
      </w:tr>
    </w:tbl>
    <w:p w14:paraId="451E4AC3" w14:textId="77777777" w:rsidR="00C85AFB" w:rsidRDefault="00C85AFB">
      <w:pPr>
        <w:rPr>
          <w:rFonts w:ascii="Bookman Old Style" w:eastAsia="Bookman Old Style" w:hAnsi="Bookman Old Style" w:cs="Bookman Old Style"/>
        </w:rPr>
      </w:pPr>
    </w:p>
    <w:sectPr w:rsidR="00C85AFB">
      <w:headerReference w:type="default" r:id="rId7"/>
      <w:footerReference w:type="default" r:id="rId8"/>
      <w:pgSz w:w="12240" w:h="2016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034F0" w14:textId="77777777" w:rsidR="00E62D59" w:rsidRDefault="00E62D59">
      <w:pPr>
        <w:spacing w:after="0" w:line="240" w:lineRule="auto"/>
      </w:pPr>
      <w:r>
        <w:separator/>
      </w:r>
    </w:p>
  </w:endnote>
  <w:endnote w:type="continuationSeparator" w:id="0">
    <w:p w14:paraId="4539EADB" w14:textId="77777777" w:rsidR="00E62D59" w:rsidRDefault="00E62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7C0C048-FFF5-4CF8-8851-33AC4E065E6E}"/>
    <w:embedItalic r:id="rId2" w:fontKey="{0FE36FB0-D51F-465A-9DE5-B08E3EEE766A}"/>
  </w:font>
  <w:font w:name="Play">
    <w:charset w:val="00"/>
    <w:family w:val="auto"/>
    <w:pitch w:val="default"/>
    <w:embedRegular r:id="rId3" w:fontKey="{F5ADD9E5-DED6-4EC0-84D7-4CC6E84275D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2ABDB1DD-15BC-4F22-9256-A9CEB054699B}"/>
  </w:font>
  <w:font w:name="Bookman Old Style">
    <w:panose1 w:val="02050604050505020204"/>
    <w:charset w:val="00"/>
    <w:family w:val="roman"/>
    <w:pitch w:val="variable"/>
    <w:sig w:usb0="00000287" w:usb1="00000000" w:usb2="00000000" w:usb3="00000000" w:csb0="0000009F" w:csb1="00000000"/>
    <w:embedRegular r:id="rId5" w:fontKey="{93573BAB-6528-42ED-B3E4-18C2E82B30A5}"/>
    <w:embedBold r:id="rId6" w:fontKey="{ECFEA0D0-9ABB-4CE4-8A76-AE89EF885931}"/>
    <w:embedItalic r:id="rId7" w:fontKey="{B547AC6C-2662-4435-81BF-04A261BB4808}"/>
    <w:embedBoldItalic r:id="rId8" w:fontKey="{80E778AC-9D3F-4BB8-85B4-963C2276314A}"/>
  </w:font>
  <w:font w:name="Calibri">
    <w:panose1 w:val="020F0502020204030204"/>
    <w:charset w:val="00"/>
    <w:family w:val="swiss"/>
    <w:pitch w:val="variable"/>
    <w:sig w:usb0="E4002EFF" w:usb1="C200247B" w:usb2="00000009" w:usb3="00000000" w:csb0="000001FF" w:csb1="00000000"/>
    <w:embedRegular r:id="rId9" w:fontKey="{D8D1250A-3149-4CC8-A504-B5D31511D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7715" w14:textId="77777777" w:rsidR="00C85AFB" w:rsidRDefault="00000000">
    <w:pPr>
      <w:spacing w:after="0"/>
      <w:jc w:val="right"/>
      <w:rPr>
        <w:rFonts w:ascii="Bookman Old Style" w:eastAsia="Bookman Old Style" w:hAnsi="Bookman Old Style" w:cs="Bookman Old Style"/>
      </w:rPr>
    </w:pPr>
    <w:r>
      <w:rPr>
        <w:rFonts w:ascii="Bookman Old Style" w:eastAsia="Bookman Old Style" w:hAnsi="Bookman Old Style" w:cs="Bookman Old Style"/>
      </w:rPr>
      <w:fldChar w:fldCharType="begin"/>
    </w:r>
    <w:r>
      <w:rPr>
        <w:rFonts w:ascii="Bookman Old Style" w:eastAsia="Bookman Old Style" w:hAnsi="Bookman Old Style" w:cs="Bookman Old Style"/>
      </w:rPr>
      <w:instrText>PAGE</w:instrText>
    </w:r>
    <w:r>
      <w:rPr>
        <w:rFonts w:ascii="Bookman Old Style" w:eastAsia="Bookman Old Style" w:hAnsi="Bookman Old Style" w:cs="Bookman Old Style"/>
      </w:rPr>
      <w:fldChar w:fldCharType="separate"/>
    </w:r>
    <w:r w:rsidR="005F029B">
      <w:rPr>
        <w:rFonts w:ascii="Bookman Old Style" w:eastAsia="Bookman Old Style" w:hAnsi="Bookman Old Style" w:cs="Bookman Old Style"/>
        <w:noProof/>
      </w:rPr>
      <w:t>1</w:t>
    </w:r>
    <w:r>
      <w:rPr>
        <w:rFonts w:ascii="Bookman Old Style" w:eastAsia="Bookman Old Style" w:hAnsi="Bookman Old Style" w:cs="Bookman Old Style"/>
      </w:rPr>
      <w:fldChar w:fldCharType="end"/>
    </w:r>
    <w:r>
      <w:rPr>
        <w:rFonts w:ascii="Bookman Old Style" w:eastAsia="Bookman Old Style" w:hAnsi="Bookman Old Style" w:cs="Bookman Old Style"/>
      </w:rPr>
      <w:t>RES.103-2025-1C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77C3D" w14:textId="77777777" w:rsidR="00E62D59" w:rsidRDefault="00E62D59">
      <w:pPr>
        <w:spacing w:after="0" w:line="240" w:lineRule="auto"/>
      </w:pPr>
      <w:r>
        <w:separator/>
      </w:r>
    </w:p>
  </w:footnote>
  <w:footnote w:type="continuationSeparator" w:id="0">
    <w:p w14:paraId="03581A96" w14:textId="77777777" w:rsidR="00E62D59" w:rsidRDefault="00E62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0E97" w14:textId="77777777" w:rsidR="00C85AFB" w:rsidRDefault="00000000">
    <w:pPr>
      <w:spacing w:after="0"/>
      <w:jc w:val="center"/>
      <w:rPr>
        <w:rFonts w:ascii="Bookman Old Style" w:eastAsia="Bookman Old Style" w:hAnsi="Bookman Old Style" w:cs="Bookman Old Style"/>
        <w:b/>
        <w:sz w:val="24"/>
        <w:szCs w:val="24"/>
      </w:rPr>
    </w:pPr>
    <w:r>
      <w:rPr>
        <w:rFonts w:ascii="Bookman Old Style" w:eastAsia="Bookman Old Style" w:hAnsi="Bookman Old Style" w:cs="Bookman Old Style"/>
        <w:b/>
        <w:noProof/>
        <w:sz w:val="24"/>
        <w:szCs w:val="24"/>
      </w:rPr>
      <w:drawing>
        <wp:inline distT="114300" distB="114300" distL="114300" distR="114300" wp14:anchorId="3E4E3250" wp14:editId="58ED0ACA">
          <wp:extent cx="1266825" cy="772128"/>
          <wp:effectExtent l="0" t="0" r="0" 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66825" cy="772128"/>
                  </a:xfrm>
                  <a:prstGeom prst="rect">
                    <a:avLst/>
                  </a:prstGeom>
                  <a:ln/>
                </pic:spPr>
              </pic:pic>
            </a:graphicData>
          </a:graphic>
        </wp:inline>
      </w:drawing>
    </w:r>
  </w:p>
  <w:p w14:paraId="0BA0A8FA" w14:textId="77777777" w:rsidR="00C85AFB" w:rsidRDefault="00000000">
    <w:pPr>
      <w:spacing w:after="0"/>
      <w:jc w:val="center"/>
    </w:pPr>
    <w:r>
      <w:rPr>
        <w:rFonts w:ascii="Bookman Old Style" w:eastAsia="Bookman Old Style" w:hAnsi="Bookman Old Style" w:cs="Bookman Old Style"/>
        <w:b/>
        <w:sz w:val="24"/>
        <w:szCs w:val="24"/>
      </w:rPr>
      <w:t>DIVISIÓN AFICIONADA DEL FÚTBOL COLOMBIANO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MQD2/K5TkmO3mosNISH1CrX/s/2hIoVuuYML3BKj5tUhdzBHi7/X9dqROksR9eZDyMdW9N+fOur2L+WUGBN3g==" w:salt="SsYxGJ02zmbdJ3HPzvpPC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FB"/>
    <w:rsid w:val="00393D85"/>
    <w:rsid w:val="005F029B"/>
    <w:rsid w:val="00C85AFB"/>
    <w:rsid w:val="00E62D59"/>
    <w:rsid w:val="00FE56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66D0"/>
  <w15:docId w15:val="{BD34A26F-41EE-40BB-BD30-95C94533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DC5E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C5E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C5E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DC5E2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C5E2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C5E2A"/>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C5E2A"/>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C5E2A"/>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C5E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C5E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C5E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C5E2A"/>
    <w:rPr>
      <w:rFonts w:eastAsiaTheme="majorEastAsia" w:cstheme="majorBidi"/>
      <w:color w:val="272727" w:themeColor="text1" w:themeTint="D8"/>
    </w:rPr>
  </w:style>
  <w:style w:type="character" w:customStyle="1" w:styleId="TtuloCar">
    <w:name w:val="Título Car"/>
    <w:basedOn w:val="Fuentedeprrafopredeter"/>
    <w:uiPriority w:val="10"/>
    <w:rsid w:val="00DC5E2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C5E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C5E2A"/>
    <w:pPr>
      <w:spacing w:before="160"/>
      <w:jc w:val="center"/>
    </w:pPr>
    <w:rPr>
      <w:i/>
      <w:iCs/>
      <w:color w:val="404040" w:themeColor="text1" w:themeTint="BF"/>
    </w:rPr>
  </w:style>
  <w:style w:type="character" w:customStyle="1" w:styleId="CitaCar">
    <w:name w:val="Cita Car"/>
    <w:basedOn w:val="Fuentedeprrafopredeter"/>
    <w:link w:val="Cita"/>
    <w:uiPriority w:val="29"/>
    <w:rsid w:val="00DC5E2A"/>
    <w:rPr>
      <w:i/>
      <w:iCs/>
      <w:color w:val="404040" w:themeColor="text1" w:themeTint="BF"/>
    </w:rPr>
  </w:style>
  <w:style w:type="paragraph" w:styleId="Prrafodelista">
    <w:name w:val="List Paragraph"/>
    <w:basedOn w:val="Normal"/>
    <w:uiPriority w:val="34"/>
    <w:qFormat/>
    <w:rsid w:val="00DC5E2A"/>
    <w:pPr>
      <w:ind w:left="720"/>
      <w:contextualSpacing/>
    </w:pPr>
  </w:style>
  <w:style w:type="character" w:styleId="nfasisintenso">
    <w:name w:val="Intense Emphasis"/>
    <w:basedOn w:val="Fuentedeprrafopredeter"/>
    <w:uiPriority w:val="21"/>
    <w:qFormat/>
    <w:rsid w:val="00DC5E2A"/>
    <w:rPr>
      <w:i/>
      <w:iCs/>
      <w:color w:val="0F4761" w:themeColor="accent1" w:themeShade="BF"/>
    </w:rPr>
  </w:style>
  <w:style w:type="paragraph" w:styleId="Citadestacada">
    <w:name w:val="Intense Quote"/>
    <w:basedOn w:val="Normal"/>
    <w:next w:val="Normal"/>
    <w:link w:val="CitadestacadaCar"/>
    <w:uiPriority w:val="30"/>
    <w:qFormat/>
    <w:rsid w:val="00DC5E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C5E2A"/>
    <w:rPr>
      <w:i/>
      <w:iCs/>
      <w:color w:val="0F4761" w:themeColor="accent1" w:themeShade="BF"/>
    </w:rPr>
  </w:style>
  <w:style w:type="character" w:styleId="Referenciaintensa">
    <w:name w:val="Intense Reference"/>
    <w:basedOn w:val="Fuentedeprrafopredeter"/>
    <w:uiPriority w:val="32"/>
    <w:qFormat/>
    <w:rsid w:val="00DC5E2A"/>
    <w:rPr>
      <w:b/>
      <w:bCs/>
      <w:smallCaps/>
      <w:color w:val="0F4761" w:themeColor="accent1" w:themeShade="BF"/>
      <w:spacing w:val="5"/>
    </w:rPr>
  </w:style>
  <w:style w:type="character" w:styleId="Hipervnculo">
    <w:name w:val="Hyperlink"/>
    <w:basedOn w:val="Fuentedeprrafopredeter"/>
    <w:uiPriority w:val="99"/>
    <w:unhideWhenUsed/>
    <w:rsid w:val="001C7960"/>
    <w:rPr>
      <w:color w:val="467886" w:themeColor="hyperlink"/>
      <w:u w:val="single"/>
    </w:rPr>
  </w:style>
  <w:style w:type="character" w:styleId="Mencinsinresolver">
    <w:name w:val="Unresolved Mention"/>
    <w:basedOn w:val="Fuentedeprrafopredeter"/>
    <w:uiPriority w:val="99"/>
    <w:semiHidden/>
    <w:unhideWhenUsed/>
    <w:rsid w:val="001C7960"/>
    <w:rPr>
      <w:color w:val="605E5C"/>
      <w:shd w:val="clear" w:color="auto" w:fill="E1DFDD"/>
    </w:rPr>
  </w:style>
  <w:style w:type="table" w:customStyle="1" w:styleId="a">
    <w:basedOn w:val="TableNormalff7"/>
    <w:tblPr>
      <w:tblStyleRowBandSize w:val="1"/>
      <w:tblStyleColBandSize w:val="1"/>
      <w:tblCellMar>
        <w:top w:w="0" w:type="dxa"/>
        <w:left w:w="115" w:type="dxa"/>
        <w:bottom w:w="0" w:type="dxa"/>
        <w:right w:w="115" w:type="dxa"/>
      </w:tblCellMar>
    </w:tblPr>
  </w:style>
  <w:style w:type="table" w:customStyle="1" w:styleId="a0">
    <w:basedOn w:val="TableNormalff7"/>
    <w:tblPr>
      <w:tblStyleRowBandSize w:val="1"/>
      <w:tblStyleColBandSize w:val="1"/>
      <w:tblCellMar>
        <w:top w:w="0" w:type="dxa"/>
        <w:left w:w="115" w:type="dxa"/>
        <w:bottom w:w="0" w:type="dxa"/>
        <w:right w:w="115" w:type="dxa"/>
      </w:tblCellMar>
    </w:tblPr>
  </w:style>
  <w:style w:type="table" w:customStyle="1" w:styleId="a1">
    <w:basedOn w:val="TableNormalff7"/>
    <w:tblPr>
      <w:tblStyleRowBandSize w:val="1"/>
      <w:tblStyleColBandSize w:val="1"/>
      <w:tblCellMar>
        <w:top w:w="0" w:type="dxa"/>
        <w:left w:w="115" w:type="dxa"/>
        <w:bottom w:w="0" w:type="dxa"/>
        <w:right w:w="115" w:type="dxa"/>
      </w:tblCellMar>
    </w:tblPr>
  </w:style>
  <w:style w:type="table" w:customStyle="1" w:styleId="a2">
    <w:basedOn w:val="TableNormalff7"/>
    <w:tblPr>
      <w:tblStyleRowBandSize w:val="1"/>
      <w:tblStyleColBandSize w:val="1"/>
      <w:tblCellMar>
        <w:top w:w="0" w:type="dxa"/>
        <w:left w:w="115" w:type="dxa"/>
        <w:bottom w:w="0" w:type="dxa"/>
        <w:right w:w="115" w:type="dxa"/>
      </w:tblCellMar>
    </w:tblPr>
  </w:style>
  <w:style w:type="table" w:customStyle="1" w:styleId="a3">
    <w:basedOn w:val="TableNormalff7"/>
    <w:tblPr>
      <w:tblStyleRowBandSize w:val="1"/>
      <w:tblStyleColBandSize w:val="1"/>
      <w:tblCellMar>
        <w:top w:w="0" w:type="dxa"/>
        <w:left w:w="115" w:type="dxa"/>
        <w:bottom w:w="0" w:type="dxa"/>
        <w:right w:w="115" w:type="dxa"/>
      </w:tblCellMar>
    </w:tblPr>
  </w:style>
  <w:style w:type="table" w:customStyle="1" w:styleId="a4">
    <w:basedOn w:val="TableNormalff7"/>
    <w:tblPr>
      <w:tblStyleRowBandSize w:val="1"/>
      <w:tblStyleColBandSize w:val="1"/>
      <w:tblCellMar>
        <w:top w:w="0" w:type="dxa"/>
        <w:left w:w="115" w:type="dxa"/>
        <w:bottom w:w="0" w:type="dxa"/>
        <w:right w:w="115" w:type="dxa"/>
      </w:tblCellMar>
    </w:tblPr>
  </w:style>
  <w:style w:type="table" w:customStyle="1" w:styleId="a5">
    <w:basedOn w:val="TableNormalff7"/>
    <w:tblPr>
      <w:tblStyleRowBandSize w:val="1"/>
      <w:tblStyleColBandSize w:val="1"/>
      <w:tblCellMar>
        <w:top w:w="0" w:type="dxa"/>
        <w:left w:w="115" w:type="dxa"/>
        <w:bottom w:w="0" w:type="dxa"/>
        <w:right w:w="115" w:type="dxa"/>
      </w:tblCellMar>
    </w:tblPr>
  </w:style>
  <w:style w:type="table" w:customStyle="1" w:styleId="a6">
    <w:basedOn w:val="TableNormalff7"/>
    <w:tblPr>
      <w:tblStyleRowBandSize w:val="1"/>
      <w:tblStyleColBandSize w:val="1"/>
      <w:tblCellMar>
        <w:top w:w="0" w:type="dxa"/>
        <w:left w:w="115" w:type="dxa"/>
        <w:bottom w:w="0" w:type="dxa"/>
        <w:right w:w="115" w:type="dxa"/>
      </w:tblCellMar>
    </w:tblPr>
  </w:style>
  <w:style w:type="table" w:customStyle="1" w:styleId="a7">
    <w:basedOn w:val="TableNormalff7"/>
    <w:tblPr>
      <w:tblStyleRowBandSize w:val="1"/>
      <w:tblStyleColBandSize w:val="1"/>
      <w:tblCellMar>
        <w:top w:w="0" w:type="dxa"/>
        <w:left w:w="115" w:type="dxa"/>
        <w:bottom w:w="0" w:type="dxa"/>
        <w:right w:w="115" w:type="dxa"/>
      </w:tblCellMar>
    </w:tblPr>
  </w:style>
  <w:style w:type="table" w:customStyle="1" w:styleId="a8">
    <w:basedOn w:val="TableNormalff7"/>
    <w:tblPr>
      <w:tblStyleRowBandSize w:val="1"/>
      <w:tblStyleColBandSize w:val="1"/>
      <w:tblCellMar>
        <w:top w:w="0" w:type="dxa"/>
        <w:left w:w="115" w:type="dxa"/>
        <w:bottom w:w="0" w:type="dxa"/>
        <w:right w:w="115" w:type="dxa"/>
      </w:tblCellMar>
    </w:tblPr>
  </w:style>
  <w:style w:type="table" w:customStyle="1" w:styleId="a9">
    <w:basedOn w:val="TableNormalff7"/>
    <w:tblPr>
      <w:tblStyleRowBandSize w:val="1"/>
      <w:tblStyleColBandSize w:val="1"/>
      <w:tblCellMar>
        <w:top w:w="0" w:type="dxa"/>
        <w:left w:w="115" w:type="dxa"/>
        <w:bottom w:w="0" w:type="dxa"/>
        <w:right w:w="115" w:type="dxa"/>
      </w:tblCellMar>
    </w:tblPr>
  </w:style>
  <w:style w:type="table" w:customStyle="1" w:styleId="aa">
    <w:basedOn w:val="TableNormalff7"/>
    <w:tblPr>
      <w:tblStyleRowBandSize w:val="1"/>
      <w:tblStyleColBandSize w:val="1"/>
      <w:tblCellMar>
        <w:top w:w="0" w:type="dxa"/>
        <w:left w:w="115" w:type="dxa"/>
        <w:bottom w:w="0" w:type="dxa"/>
        <w:right w:w="115" w:type="dxa"/>
      </w:tblCellMar>
    </w:tblPr>
  </w:style>
  <w:style w:type="table" w:customStyle="1" w:styleId="ab">
    <w:basedOn w:val="TableNormalff7"/>
    <w:tblPr>
      <w:tblStyleRowBandSize w:val="1"/>
      <w:tblStyleColBandSize w:val="1"/>
      <w:tblCellMar>
        <w:top w:w="100" w:type="dxa"/>
        <w:left w:w="100" w:type="dxa"/>
        <w:bottom w:w="100" w:type="dxa"/>
        <w:right w:w="100" w:type="dxa"/>
      </w:tblCellMar>
    </w:tblPr>
  </w:style>
  <w:style w:type="table" w:customStyle="1" w:styleId="ac">
    <w:basedOn w:val="TableNormalff7"/>
    <w:tblPr>
      <w:tblStyleRowBandSize w:val="1"/>
      <w:tblStyleColBandSize w:val="1"/>
      <w:tblCellMar>
        <w:top w:w="0" w:type="dxa"/>
        <w:left w:w="115" w:type="dxa"/>
        <w:bottom w:w="0" w:type="dxa"/>
        <w:right w:w="115" w:type="dxa"/>
      </w:tblCellMar>
    </w:tblPr>
  </w:style>
  <w:style w:type="table" w:customStyle="1" w:styleId="ad">
    <w:basedOn w:val="TableNormalff7"/>
    <w:tblPr>
      <w:tblStyleRowBandSize w:val="1"/>
      <w:tblStyleColBandSize w:val="1"/>
      <w:tblCellMar>
        <w:top w:w="0" w:type="dxa"/>
        <w:left w:w="115" w:type="dxa"/>
        <w:bottom w:w="0" w:type="dxa"/>
        <w:right w:w="115" w:type="dxa"/>
      </w:tblCellMar>
    </w:tblPr>
  </w:style>
  <w:style w:type="table" w:customStyle="1" w:styleId="ae">
    <w:basedOn w:val="TableNormalff7"/>
    <w:tblPr>
      <w:tblStyleRowBandSize w:val="1"/>
      <w:tblStyleColBandSize w:val="1"/>
      <w:tblCellMar>
        <w:top w:w="0" w:type="dxa"/>
        <w:left w:w="115" w:type="dxa"/>
        <w:bottom w:w="0" w:type="dxa"/>
        <w:right w:w="115" w:type="dxa"/>
      </w:tblCellMar>
    </w:tblPr>
  </w:style>
  <w:style w:type="table" w:customStyle="1" w:styleId="af">
    <w:basedOn w:val="TableNormalff7"/>
    <w:tblPr>
      <w:tblStyleRowBandSize w:val="1"/>
      <w:tblStyleColBandSize w:val="1"/>
      <w:tblCellMar>
        <w:top w:w="0" w:type="dxa"/>
        <w:left w:w="115" w:type="dxa"/>
        <w:bottom w:w="0" w:type="dxa"/>
        <w:right w:w="115" w:type="dxa"/>
      </w:tblCellMar>
    </w:tblPr>
  </w:style>
  <w:style w:type="table" w:customStyle="1" w:styleId="af0">
    <w:basedOn w:val="TableNormalff7"/>
    <w:tblPr>
      <w:tblStyleRowBandSize w:val="1"/>
      <w:tblStyleColBandSize w:val="1"/>
      <w:tblCellMar>
        <w:top w:w="0" w:type="dxa"/>
        <w:left w:w="115" w:type="dxa"/>
        <w:bottom w:w="0" w:type="dxa"/>
        <w:right w:w="115" w:type="dxa"/>
      </w:tblCellMar>
    </w:tblPr>
  </w:style>
  <w:style w:type="table" w:customStyle="1" w:styleId="af1">
    <w:basedOn w:val="TableNormalff7"/>
    <w:tblPr>
      <w:tblStyleRowBandSize w:val="1"/>
      <w:tblStyleColBandSize w:val="1"/>
      <w:tblCellMar>
        <w:top w:w="0" w:type="dxa"/>
        <w:left w:w="115" w:type="dxa"/>
        <w:bottom w:w="0" w:type="dxa"/>
        <w:right w:w="115" w:type="dxa"/>
      </w:tblCellMar>
    </w:tblPr>
  </w:style>
  <w:style w:type="table" w:customStyle="1" w:styleId="af2">
    <w:basedOn w:val="TableNormalff7"/>
    <w:tblPr>
      <w:tblStyleRowBandSize w:val="1"/>
      <w:tblStyleColBandSize w:val="1"/>
      <w:tblCellMar>
        <w:top w:w="100" w:type="dxa"/>
        <w:left w:w="100" w:type="dxa"/>
        <w:bottom w:w="100" w:type="dxa"/>
        <w:right w:w="100" w:type="dxa"/>
      </w:tblCellMar>
    </w:tblPr>
  </w:style>
  <w:style w:type="table" w:customStyle="1" w:styleId="af3">
    <w:basedOn w:val="TableNormalff7"/>
    <w:tblPr>
      <w:tblStyleRowBandSize w:val="1"/>
      <w:tblStyleColBandSize w:val="1"/>
      <w:tblCellMar>
        <w:top w:w="0" w:type="dxa"/>
        <w:left w:w="115" w:type="dxa"/>
        <w:bottom w:w="0" w:type="dxa"/>
        <w:right w:w="115" w:type="dxa"/>
      </w:tblCellMar>
    </w:tblPr>
  </w:style>
  <w:style w:type="table" w:customStyle="1" w:styleId="af4">
    <w:basedOn w:val="TableNormalff7"/>
    <w:tblPr>
      <w:tblStyleRowBandSize w:val="1"/>
      <w:tblStyleColBandSize w:val="1"/>
      <w:tblCellMar>
        <w:top w:w="100" w:type="dxa"/>
        <w:left w:w="100" w:type="dxa"/>
        <w:bottom w:w="100" w:type="dxa"/>
        <w:right w:w="100" w:type="dxa"/>
      </w:tblCellMar>
    </w:tblPr>
  </w:style>
  <w:style w:type="table" w:customStyle="1" w:styleId="af5">
    <w:basedOn w:val="TableNormalff7"/>
    <w:tblPr>
      <w:tblStyleRowBandSize w:val="1"/>
      <w:tblStyleColBandSize w:val="1"/>
      <w:tblCellMar>
        <w:top w:w="0" w:type="dxa"/>
        <w:left w:w="115" w:type="dxa"/>
        <w:bottom w:w="0" w:type="dxa"/>
        <w:right w:w="115" w:type="dxa"/>
      </w:tblCellMar>
    </w:tblPr>
  </w:style>
  <w:style w:type="table" w:customStyle="1" w:styleId="af6">
    <w:basedOn w:val="TableNormalff7"/>
    <w:tblPr>
      <w:tblStyleRowBandSize w:val="1"/>
      <w:tblStyleColBandSize w:val="1"/>
      <w:tblCellMar>
        <w:top w:w="100" w:type="dxa"/>
        <w:left w:w="100" w:type="dxa"/>
        <w:bottom w:w="100" w:type="dxa"/>
        <w:right w:w="100" w:type="dxa"/>
      </w:tblCellMar>
    </w:tblPr>
  </w:style>
  <w:style w:type="table" w:customStyle="1" w:styleId="af7">
    <w:basedOn w:val="TableNormalff7"/>
    <w:tblPr>
      <w:tblStyleRowBandSize w:val="1"/>
      <w:tblStyleColBandSize w:val="1"/>
      <w:tblCellMar>
        <w:top w:w="0" w:type="dxa"/>
        <w:left w:w="115" w:type="dxa"/>
        <w:bottom w:w="0" w:type="dxa"/>
        <w:right w:w="115" w:type="dxa"/>
      </w:tblCellMar>
    </w:tblPr>
  </w:style>
  <w:style w:type="table" w:customStyle="1" w:styleId="af8">
    <w:basedOn w:val="TableNormalff7"/>
    <w:tblPr>
      <w:tblStyleRowBandSize w:val="1"/>
      <w:tblStyleColBandSize w:val="1"/>
      <w:tblCellMar>
        <w:top w:w="100" w:type="dxa"/>
        <w:left w:w="100" w:type="dxa"/>
        <w:bottom w:w="100" w:type="dxa"/>
        <w:right w:w="100" w:type="dxa"/>
      </w:tblCellMar>
    </w:tblPr>
  </w:style>
  <w:style w:type="table" w:customStyle="1" w:styleId="af9">
    <w:basedOn w:val="TableNormalff7"/>
    <w:tblPr>
      <w:tblStyleRowBandSize w:val="1"/>
      <w:tblStyleColBandSize w:val="1"/>
      <w:tblCellMar>
        <w:top w:w="0" w:type="dxa"/>
        <w:left w:w="115" w:type="dxa"/>
        <w:bottom w:w="0" w:type="dxa"/>
        <w:right w:w="115" w:type="dxa"/>
      </w:tblCellMar>
    </w:tblPr>
  </w:style>
  <w:style w:type="table" w:customStyle="1" w:styleId="afa">
    <w:basedOn w:val="TableNormalff7"/>
    <w:tblPr>
      <w:tblStyleRowBandSize w:val="1"/>
      <w:tblStyleColBandSize w:val="1"/>
      <w:tblCellMar>
        <w:top w:w="0" w:type="dxa"/>
        <w:left w:w="115" w:type="dxa"/>
        <w:bottom w:w="0" w:type="dxa"/>
        <w:right w:w="115" w:type="dxa"/>
      </w:tblCellMar>
    </w:tblPr>
  </w:style>
  <w:style w:type="table" w:customStyle="1" w:styleId="afb">
    <w:basedOn w:val="TableNormalff7"/>
    <w:tblPr>
      <w:tblStyleRowBandSize w:val="1"/>
      <w:tblStyleColBandSize w:val="1"/>
      <w:tblCellMar>
        <w:top w:w="100" w:type="dxa"/>
        <w:left w:w="100" w:type="dxa"/>
        <w:bottom w:w="100" w:type="dxa"/>
        <w:right w:w="100" w:type="dxa"/>
      </w:tblCellMar>
    </w:tblPr>
  </w:style>
  <w:style w:type="table" w:customStyle="1" w:styleId="afc">
    <w:basedOn w:val="TableNormalff7"/>
    <w:tblPr>
      <w:tblStyleRowBandSize w:val="1"/>
      <w:tblStyleColBandSize w:val="1"/>
      <w:tblCellMar>
        <w:top w:w="0" w:type="dxa"/>
        <w:left w:w="115" w:type="dxa"/>
        <w:bottom w:w="0" w:type="dxa"/>
        <w:right w:w="115" w:type="dxa"/>
      </w:tblCellMar>
    </w:tblPr>
  </w:style>
  <w:style w:type="table" w:customStyle="1" w:styleId="afd">
    <w:basedOn w:val="TableNormalff7"/>
    <w:tblPr>
      <w:tblStyleRowBandSize w:val="1"/>
      <w:tblStyleColBandSize w:val="1"/>
      <w:tblCellMar>
        <w:top w:w="100" w:type="dxa"/>
        <w:left w:w="100" w:type="dxa"/>
        <w:bottom w:w="100" w:type="dxa"/>
        <w:right w:w="100" w:type="dxa"/>
      </w:tblCellMar>
    </w:tblPr>
  </w:style>
  <w:style w:type="table" w:customStyle="1" w:styleId="afe">
    <w:basedOn w:val="TableNormalff7"/>
    <w:tblPr>
      <w:tblStyleRowBandSize w:val="1"/>
      <w:tblStyleColBandSize w:val="1"/>
      <w:tblCellMar>
        <w:top w:w="0" w:type="dxa"/>
        <w:left w:w="115" w:type="dxa"/>
        <w:bottom w:w="0" w:type="dxa"/>
        <w:right w:w="115" w:type="dxa"/>
      </w:tblCellMar>
    </w:tblPr>
  </w:style>
  <w:style w:type="table" w:customStyle="1" w:styleId="aff">
    <w:basedOn w:val="TableNormalff7"/>
    <w:tblPr>
      <w:tblStyleRowBandSize w:val="1"/>
      <w:tblStyleColBandSize w:val="1"/>
      <w:tblCellMar>
        <w:top w:w="100" w:type="dxa"/>
        <w:left w:w="100" w:type="dxa"/>
        <w:bottom w:w="100" w:type="dxa"/>
        <w:right w:w="100" w:type="dxa"/>
      </w:tblCellMar>
    </w:tblPr>
  </w:style>
  <w:style w:type="table" w:customStyle="1" w:styleId="aff0">
    <w:basedOn w:val="TableNormalff7"/>
    <w:tblPr>
      <w:tblStyleRowBandSize w:val="1"/>
      <w:tblStyleColBandSize w:val="1"/>
      <w:tblCellMar>
        <w:top w:w="0" w:type="dxa"/>
        <w:left w:w="115" w:type="dxa"/>
        <w:bottom w:w="0" w:type="dxa"/>
        <w:right w:w="115" w:type="dxa"/>
      </w:tblCellMar>
    </w:tblPr>
  </w:style>
  <w:style w:type="table" w:customStyle="1" w:styleId="aff1">
    <w:basedOn w:val="TableNormalff7"/>
    <w:tblPr>
      <w:tblStyleRowBandSize w:val="1"/>
      <w:tblStyleColBandSize w:val="1"/>
      <w:tblCellMar>
        <w:top w:w="100" w:type="dxa"/>
        <w:left w:w="100" w:type="dxa"/>
        <w:bottom w:w="100" w:type="dxa"/>
        <w:right w:w="100" w:type="dxa"/>
      </w:tblCellMar>
    </w:tblPr>
  </w:style>
  <w:style w:type="table" w:customStyle="1" w:styleId="aff2">
    <w:basedOn w:val="TableNormalff7"/>
    <w:tblPr>
      <w:tblStyleRowBandSize w:val="1"/>
      <w:tblStyleColBandSize w:val="1"/>
      <w:tblCellMar>
        <w:top w:w="0" w:type="dxa"/>
        <w:left w:w="115" w:type="dxa"/>
        <w:bottom w:w="0" w:type="dxa"/>
        <w:right w:w="115" w:type="dxa"/>
      </w:tblCellMar>
    </w:tblPr>
  </w:style>
  <w:style w:type="table" w:customStyle="1" w:styleId="aff3">
    <w:basedOn w:val="TableNormalff7"/>
    <w:tblPr>
      <w:tblStyleRowBandSize w:val="1"/>
      <w:tblStyleColBandSize w:val="1"/>
      <w:tblCellMar>
        <w:top w:w="100" w:type="dxa"/>
        <w:left w:w="100" w:type="dxa"/>
        <w:bottom w:w="100" w:type="dxa"/>
        <w:right w:w="100" w:type="dxa"/>
      </w:tblCellMar>
    </w:tblPr>
  </w:style>
  <w:style w:type="table" w:customStyle="1" w:styleId="aff4">
    <w:basedOn w:val="TableNormalff7"/>
    <w:tblPr>
      <w:tblStyleRowBandSize w:val="1"/>
      <w:tblStyleColBandSize w:val="1"/>
      <w:tblCellMar>
        <w:top w:w="0" w:type="dxa"/>
        <w:left w:w="115" w:type="dxa"/>
        <w:bottom w:w="0" w:type="dxa"/>
        <w:right w:w="115" w:type="dxa"/>
      </w:tblCellMar>
    </w:tblPr>
  </w:style>
  <w:style w:type="table" w:customStyle="1" w:styleId="aff5">
    <w:basedOn w:val="TableNormalff7"/>
    <w:tblPr>
      <w:tblStyleRowBandSize w:val="1"/>
      <w:tblStyleColBandSize w:val="1"/>
      <w:tblCellMar>
        <w:top w:w="0" w:type="dxa"/>
        <w:left w:w="115" w:type="dxa"/>
        <w:bottom w:w="0" w:type="dxa"/>
        <w:right w:w="115" w:type="dxa"/>
      </w:tblCellMar>
    </w:tblPr>
  </w:style>
  <w:style w:type="table" w:customStyle="1" w:styleId="aff6">
    <w:basedOn w:val="TableNormalff7"/>
    <w:tblPr>
      <w:tblStyleRowBandSize w:val="1"/>
      <w:tblStyleColBandSize w:val="1"/>
      <w:tblCellMar>
        <w:top w:w="100" w:type="dxa"/>
        <w:left w:w="100" w:type="dxa"/>
        <w:bottom w:w="100" w:type="dxa"/>
        <w:right w:w="100" w:type="dxa"/>
      </w:tblCellMar>
    </w:tblPr>
  </w:style>
  <w:style w:type="table" w:customStyle="1" w:styleId="aff7">
    <w:basedOn w:val="TableNormalff7"/>
    <w:tblPr>
      <w:tblStyleRowBandSize w:val="1"/>
      <w:tblStyleColBandSize w:val="1"/>
      <w:tblCellMar>
        <w:top w:w="0" w:type="dxa"/>
        <w:left w:w="115" w:type="dxa"/>
        <w:bottom w:w="0" w:type="dxa"/>
        <w:right w:w="115" w:type="dxa"/>
      </w:tblCellMar>
    </w:tblPr>
  </w:style>
  <w:style w:type="table" w:customStyle="1" w:styleId="aff8">
    <w:basedOn w:val="TableNormalff7"/>
    <w:tblPr>
      <w:tblStyleRowBandSize w:val="1"/>
      <w:tblStyleColBandSize w:val="1"/>
      <w:tblCellMar>
        <w:top w:w="100" w:type="dxa"/>
        <w:left w:w="100" w:type="dxa"/>
        <w:bottom w:w="100" w:type="dxa"/>
        <w:right w:w="100" w:type="dxa"/>
      </w:tblCellMar>
    </w:tblPr>
  </w:style>
  <w:style w:type="table" w:customStyle="1" w:styleId="aff9">
    <w:basedOn w:val="TableNormalff7"/>
    <w:tblPr>
      <w:tblStyleRowBandSize w:val="1"/>
      <w:tblStyleColBandSize w:val="1"/>
      <w:tblCellMar>
        <w:top w:w="0" w:type="dxa"/>
        <w:left w:w="115" w:type="dxa"/>
        <w:bottom w:w="0" w:type="dxa"/>
        <w:right w:w="115" w:type="dxa"/>
      </w:tblCellMar>
    </w:tblPr>
  </w:style>
  <w:style w:type="table" w:customStyle="1" w:styleId="affa">
    <w:basedOn w:val="TableNormalff7"/>
    <w:tblPr>
      <w:tblStyleRowBandSize w:val="1"/>
      <w:tblStyleColBandSize w:val="1"/>
      <w:tblCellMar>
        <w:top w:w="100" w:type="dxa"/>
        <w:left w:w="100" w:type="dxa"/>
        <w:bottom w:w="100" w:type="dxa"/>
        <w:right w:w="100" w:type="dxa"/>
      </w:tblCellMar>
    </w:tblPr>
  </w:style>
  <w:style w:type="table" w:customStyle="1" w:styleId="affb">
    <w:basedOn w:val="TableNormalff7"/>
    <w:tblPr>
      <w:tblStyleRowBandSize w:val="1"/>
      <w:tblStyleColBandSize w:val="1"/>
      <w:tblCellMar>
        <w:top w:w="0" w:type="dxa"/>
        <w:left w:w="115" w:type="dxa"/>
        <w:bottom w:w="0" w:type="dxa"/>
        <w:right w:w="115" w:type="dxa"/>
      </w:tblCellMar>
    </w:tblPr>
  </w:style>
  <w:style w:type="table" w:customStyle="1" w:styleId="affc">
    <w:basedOn w:val="TableNormalff7"/>
    <w:tblPr>
      <w:tblStyleRowBandSize w:val="1"/>
      <w:tblStyleColBandSize w:val="1"/>
      <w:tblCellMar>
        <w:top w:w="100" w:type="dxa"/>
        <w:left w:w="100" w:type="dxa"/>
        <w:bottom w:w="100" w:type="dxa"/>
        <w:right w:w="100" w:type="dxa"/>
      </w:tblCellMar>
    </w:tblPr>
  </w:style>
  <w:style w:type="table" w:customStyle="1" w:styleId="affd">
    <w:basedOn w:val="TableNormalff7"/>
    <w:tblPr>
      <w:tblStyleRowBandSize w:val="1"/>
      <w:tblStyleColBandSize w:val="1"/>
      <w:tblCellMar>
        <w:top w:w="0" w:type="dxa"/>
        <w:left w:w="115" w:type="dxa"/>
        <w:bottom w:w="0" w:type="dxa"/>
        <w:right w:w="115" w:type="dxa"/>
      </w:tblCellMar>
    </w:tblPr>
  </w:style>
  <w:style w:type="table" w:customStyle="1" w:styleId="affe">
    <w:basedOn w:val="TableNormalff7"/>
    <w:tblPr>
      <w:tblStyleRowBandSize w:val="1"/>
      <w:tblStyleColBandSize w:val="1"/>
      <w:tblCellMar>
        <w:top w:w="100" w:type="dxa"/>
        <w:left w:w="100" w:type="dxa"/>
        <w:bottom w:w="100" w:type="dxa"/>
        <w:right w:w="100" w:type="dxa"/>
      </w:tblCellMar>
    </w:tblPr>
  </w:style>
  <w:style w:type="table" w:customStyle="1" w:styleId="afff">
    <w:basedOn w:val="TableNormalff7"/>
    <w:tblPr>
      <w:tblStyleRowBandSize w:val="1"/>
      <w:tblStyleColBandSize w:val="1"/>
      <w:tblCellMar>
        <w:top w:w="0" w:type="dxa"/>
        <w:left w:w="115" w:type="dxa"/>
        <w:bottom w:w="0" w:type="dxa"/>
        <w:right w:w="115" w:type="dxa"/>
      </w:tblCellMar>
    </w:tblPr>
  </w:style>
  <w:style w:type="table" w:customStyle="1" w:styleId="afff0">
    <w:basedOn w:val="TableNormalff7"/>
    <w:tblPr>
      <w:tblStyleRowBandSize w:val="1"/>
      <w:tblStyleColBandSize w:val="1"/>
      <w:tblCellMar>
        <w:top w:w="100" w:type="dxa"/>
        <w:left w:w="100" w:type="dxa"/>
        <w:bottom w:w="100" w:type="dxa"/>
        <w:right w:w="100" w:type="dxa"/>
      </w:tblCellMar>
    </w:tblPr>
  </w:style>
  <w:style w:type="table" w:customStyle="1" w:styleId="afff1">
    <w:basedOn w:val="TableNormalff7"/>
    <w:tblPr>
      <w:tblStyleRowBandSize w:val="1"/>
      <w:tblStyleColBandSize w:val="1"/>
      <w:tblCellMar>
        <w:top w:w="0" w:type="dxa"/>
        <w:left w:w="115" w:type="dxa"/>
        <w:bottom w:w="0" w:type="dxa"/>
        <w:right w:w="115" w:type="dxa"/>
      </w:tblCellMar>
    </w:tblPr>
  </w:style>
  <w:style w:type="table" w:customStyle="1" w:styleId="afff2">
    <w:basedOn w:val="TableNormalff7"/>
    <w:tblPr>
      <w:tblStyleRowBandSize w:val="1"/>
      <w:tblStyleColBandSize w:val="1"/>
      <w:tblCellMar>
        <w:top w:w="100" w:type="dxa"/>
        <w:left w:w="100" w:type="dxa"/>
        <w:bottom w:w="100" w:type="dxa"/>
        <w:right w:w="100" w:type="dxa"/>
      </w:tblCellMar>
    </w:tblPr>
  </w:style>
  <w:style w:type="table" w:customStyle="1" w:styleId="afff3">
    <w:basedOn w:val="TableNormalff7"/>
    <w:tblPr>
      <w:tblStyleRowBandSize w:val="1"/>
      <w:tblStyleColBandSize w:val="1"/>
      <w:tblCellMar>
        <w:top w:w="0" w:type="dxa"/>
        <w:left w:w="115" w:type="dxa"/>
        <w:bottom w:w="0" w:type="dxa"/>
        <w:right w:w="115" w:type="dxa"/>
      </w:tblCellMar>
    </w:tblPr>
  </w:style>
  <w:style w:type="table" w:customStyle="1" w:styleId="afff4">
    <w:basedOn w:val="TableNormalff7"/>
    <w:tblPr>
      <w:tblStyleRowBandSize w:val="1"/>
      <w:tblStyleColBandSize w:val="1"/>
      <w:tblCellMar>
        <w:top w:w="100" w:type="dxa"/>
        <w:left w:w="100" w:type="dxa"/>
        <w:bottom w:w="100" w:type="dxa"/>
        <w:right w:w="100" w:type="dxa"/>
      </w:tblCellMar>
    </w:tblPr>
  </w:style>
  <w:style w:type="table" w:customStyle="1" w:styleId="afff5">
    <w:basedOn w:val="TableNormalff7"/>
    <w:tblPr>
      <w:tblStyleRowBandSize w:val="1"/>
      <w:tblStyleColBandSize w:val="1"/>
      <w:tblCellMar>
        <w:top w:w="0" w:type="dxa"/>
        <w:left w:w="115" w:type="dxa"/>
        <w:bottom w:w="0" w:type="dxa"/>
        <w:right w:w="115" w:type="dxa"/>
      </w:tblCellMar>
    </w:tblPr>
  </w:style>
  <w:style w:type="table" w:customStyle="1" w:styleId="afff6">
    <w:basedOn w:val="TableNormalff7"/>
    <w:tblPr>
      <w:tblStyleRowBandSize w:val="1"/>
      <w:tblStyleColBandSize w:val="1"/>
      <w:tblCellMar>
        <w:top w:w="100" w:type="dxa"/>
        <w:left w:w="100" w:type="dxa"/>
        <w:bottom w:w="100" w:type="dxa"/>
        <w:right w:w="100" w:type="dxa"/>
      </w:tblCellMar>
    </w:tblPr>
  </w:style>
  <w:style w:type="table" w:customStyle="1" w:styleId="afff7">
    <w:basedOn w:val="TableNormalff7"/>
    <w:tblPr>
      <w:tblStyleRowBandSize w:val="1"/>
      <w:tblStyleColBandSize w:val="1"/>
      <w:tblCellMar>
        <w:top w:w="0" w:type="dxa"/>
        <w:left w:w="115" w:type="dxa"/>
        <w:bottom w:w="0" w:type="dxa"/>
        <w:right w:w="115" w:type="dxa"/>
      </w:tblCellMar>
    </w:tblPr>
  </w:style>
  <w:style w:type="table" w:customStyle="1" w:styleId="afff8">
    <w:basedOn w:val="TableNormalff7"/>
    <w:tblPr>
      <w:tblStyleRowBandSize w:val="1"/>
      <w:tblStyleColBandSize w:val="1"/>
      <w:tblCellMar>
        <w:top w:w="100" w:type="dxa"/>
        <w:left w:w="100" w:type="dxa"/>
        <w:bottom w:w="100" w:type="dxa"/>
        <w:right w:w="100" w:type="dxa"/>
      </w:tblCellMar>
    </w:tblPr>
  </w:style>
  <w:style w:type="table" w:customStyle="1" w:styleId="afff9">
    <w:basedOn w:val="TableNormalff7"/>
    <w:tblPr>
      <w:tblStyleRowBandSize w:val="1"/>
      <w:tblStyleColBandSize w:val="1"/>
      <w:tblCellMar>
        <w:top w:w="0" w:type="dxa"/>
        <w:left w:w="115" w:type="dxa"/>
        <w:bottom w:w="0" w:type="dxa"/>
        <w:right w:w="115" w:type="dxa"/>
      </w:tblCellMar>
    </w:tblPr>
  </w:style>
  <w:style w:type="table" w:customStyle="1" w:styleId="afffa">
    <w:basedOn w:val="TableNormalff7"/>
    <w:tblPr>
      <w:tblStyleRowBandSize w:val="1"/>
      <w:tblStyleColBandSize w:val="1"/>
      <w:tblCellMar>
        <w:top w:w="100" w:type="dxa"/>
        <w:left w:w="100" w:type="dxa"/>
        <w:bottom w:w="100" w:type="dxa"/>
        <w:right w:w="100" w:type="dxa"/>
      </w:tblCellMar>
    </w:tblPr>
  </w:style>
  <w:style w:type="table" w:customStyle="1" w:styleId="afffb">
    <w:basedOn w:val="TableNormalff7"/>
    <w:tblPr>
      <w:tblStyleRowBandSize w:val="1"/>
      <w:tblStyleColBandSize w:val="1"/>
      <w:tblCellMar>
        <w:top w:w="0" w:type="dxa"/>
        <w:left w:w="115" w:type="dxa"/>
        <w:bottom w:w="0" w:type="dxa"/>
        <w:right w:w="115" w:type="dxa"/>
      </w:tblCellMar>
    </w:tblPr>
  </w:style>
  <w:style w:type="table" w:customStyle="1" w:styleId="afffc">
    <w:basedOn w:val="TableNormalff7"/>
    <w:tblPr>
      <w:tblStyleRowBandSize w:val="1"/>
      <w:tblStyleColBandSize w:val="1"/>
      <w:tblCellMar>
        <w:top w:w="100" w:type="dxa"/>
        <w:left w:w="100" w:type="dxa"/>
        <w:bottom w:w="100" w:type="dxa"/>
        <w:right w:w="100" w:type="dxa"/>
      </w:tblCellMar>
    </w:tblPr>
  </w:style>
  <w:style w:type="table" w:customStyle="1" w:styleId="afffd">
    <w:basedOn w:val="TableNormalff7"/>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fffe">
    <w:basedOn w:val="TableNormalff7"/>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eTKJ9QSZW8+AeZQZToNiHh2hQ==">CgMxLjAyCGguZ2pkZ3hzMg5oLmU0dGFtcWc2dGc1aDgAciExLWRKY1ktNHBxSi1udXR1Mnk4dE5xeXpaUFpPOE1fYzM=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1203</Words>
  <Characters>6619</Characters>
  <Application>Microsoft Office Word</Application>
  <DocSecurity>8</DocSecurity>
  <Lines>55</Lines>
  <Paragraphs>15</Paragraphs>
  <ScaleCrop>false</ScaleCrop>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Fabián LÓPEZ TEJEDA</dc:creator>
  <cp:lastModifiedBy>Difutbol Col</cp:lastModifiedBy>
  <cp:revision>3</cp:revision>
  <dcterms:created xsi:type="dcterms:W3CDTF">2025-08-28T16:07:00Z</dcterms:created>
  <dcterms:modified xsi:type="dcterms:W3CDTF">2025-08-28T16:08:00Z</dcterms:modified>
</cp:coreProperties>
</file>